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8FD7" w14:textId="56C877EF" w:rsidR="00BC115A" w:rsidRDefault="00BC115A" w:rsidP="00BC115A">
      <w:pPr>
        <w:shd w:val="clear" w:color="auto" w:fill="FFFFFF"/>
        <w:spacing w:before="330" w:after="330" w:line="263" w:lineRule="atLeast"/>
        <w:jc w:val="center"/>
        <w:rPr>
          <w:rFonts w:ascii="Open Sans" w:eastAsia="Times New Roman" w:hAnsi="Open Sans" w:cs="Open Sans"/>
          <w:b/>
          <w:bCs/>
          <w:color w:val="292522"/>
          <w:sz w:val="24"/>
          <w:szCs w:val="24"/>
        </w:rPr>
      </w:pPr>
      <w:r>
        <w:rPr>
          <w:noProof/>
        </w:rPr>
        <w:drawing>
          <wp:inline distT="0" distB="0" distL="0" distR="0" wp14:anchorId="176C1B44" wp14:editId="295EB521">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63ADED3B" wp14:editId="2272CF5F">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224C9DC8" w14:textId="61913A87" w:rsidR="00BC115A" w:rsidRPr="00BC115A" w:rsidRDefault="00BC115A" w:rsidP="00BC115A">
      <w:pPr>
        <w:shd w:val="clear" w:color="auto" w:fill="FFFFFF"/>
        <w:spacing w:before="330" w:after="330" w:line="263" w:lineRule="atLeast"/>
        <w:jc w:val="center"/>
        <w:rPr>
          <w:rFonts w:ascii="Open Sans" w:eastAsia="Times New Roman" w:hAnsi="Open Sans" w:cs="Open Sans"/>
          <w:b/>
          <w:bCs/>
          <w:color w:val="292522"/>
          <w:sz w:val="24"/>
          <w:szCs w:val="24"/>
        </w:rPr>
      </w:pPr>
      <w:r w:rsidRPr="00BC115A">
        <w:rPr>
          <w:rFonts w:ascii="Open Sans" w:eastAsia="Times New Roman" w:hAnsi="Open Sans" w:cs="Open Sans"/>
          <w:b/>
          <w:bCs/>
          <w:color w:val="292522"/>
          <w:sz w:val="24"/>
          <w:szCs w:val="24"/>
        </w:rPr>
        <w:t>Support Arts Education in ESSA and E</w:t>
      </w:r>
      <w:r w:rsidR="001D0C27">
        <w:rPr>
          <w:rFonts w:ascii="Open Sans" w:eastAsia="Times New Roman" w:hAnsi="Open Sans" w:cs="Open Sans"/>
          <w:b/>
          <w:bCs/>
          <w:color w:val="292522"/>
          <w:sz w:val="24"/>
          <w:szCs w:val="24"/>
        </w:rPr>
        <w:t>SR</w:t>
      </w:r>
      <w:r w:rsidRPr="00BC115A">
        <w:rPr>
          <w:rFonts w:ascii="Open Sans" w:eastAsia="Times New Roman" w:hAnsi="Open Sans" w:cs="Open Sans"/>
          <w:b/>
          <w:bCs/>
          <w:color w:val="292522"/>
          <w:sz w:val="24"/>
          <w:szCs w:val="24"/>
        </w:rPr>
        <w:t>A</w:t>
      </w:r>
    </w:p>
    <w:p w14:paraId="7B9C47A7" w14:textId="43BC1A60" w:rsidR="00FA3161" w:rsidRPr="00E6147B" w:rsidRDefault="00FA3161" w:rsidP="00FA3161">
      <w:pPr>
        <w:shd w:val="clear" w:color="auto" w:fill="FFFFFF"/>
        <w:spacing w:before="330" w:after="330" w:line="263" w:lineRule="atLeast"/>
        <w:rPr>
          <w:rFonts w:ascii="Open Sans" w:eastAsia="Times New Roman" w:hAnsi="Open Sans" w:cs="Open Sans"/>
          <w:color w:val="292522"/>
          <w:sz w:val="21"/>
          <w:szCs w:val="21"/>
        </w:rPr>
      </w:pPr>
      <w:r w:rsidRPr="00E6147B">
        <w:rPr>
          <w:rFonts w:ascii="Open Sans" w:eastAsia="Times New Roman" w:hAnsi="Open Sans" w:cs="Open Sans"/>
          <w:color w:val="292522"/>
          <w:sz w:val="21"/>
          <w:szCs w:val="21"/>
        </w:rPr>
        <w:t>In December 2015, Congress passed bipartisan legislation to reauthorize the </w:t>
      </w:r>
      <w:r w:rsidRPr="00E6147B">
        <w:rPr>
          <w:rFonts w:ascii="Open Sans" w:eastAsia="Times New Roman" w:hAnsi="Open Sans" w:cs="Open Sans"/>
          <w:i/>
          <w:iCs/>
          <w:color w:val="292522"/>
          <w:sz w:val="21"/>
          <w:szCs w:val="21"/>
        </w:rPr>
        <w:t>Elementary and Secondary Education Act</w:t>
      </w:r>
      <w:r w:rsidRPr="00E6147B">
        <w:rPr>
          <w:rFonts w:ascii="Open Sans" w:eastAsia="Times New Roman" w:hAnsi="Open Sans" w:cs="Open Sans"/>
          <w:color w:val="292522"/>
          <w:sz w:val="21"/>
          <w:szCs w:val="21"/>
        </w:rPr>
        <w:t> (ESSA) in landslide votes. ESSA, the current iteration of the </w:t>
      </w:r>
      <w:r w:rsidRPr="00E6147B">
        <w:rPr>
          <w:rFonts w:ascii="Open Sans" w:eastAsia="Times New Roman" w:hAnsi="Open Sans" w:cs="Open Sans"/>
          <w:i/>
          <w:iCs/>
          <w:color w:val="292522"/>
          <w:sz w:val="21"/>
          <w:szCs w:val="21"/>
        </w:rPr>
        <w:t>Elementary and Secondary Education Act of 1965 </w:t>
      </w:r>
      <w:r w:rsidRPr="00E6147B">
        <w:rPr>
          <w:rFonts w:ascii="Open Sans" w:eastAsia="Times New Roman" w:hAnsi="Open Sans" w:cs="Open Sans"/>
          <w:color w:val="292522"/>
          <w:sz w:val="21"/>
          <w:szCs w:val="21"/>
        </w:rPr>
        <w:t>(ESEA) includes art and music in the definition of a "well-rounded education." Within ESSA, there are several opportunities for the federal government to fund and support equitable access to arts education for K-12 students around the country.</w:t>
      </w:r>
    </w:p>
    <w:p w14:paraId="04D38BCA" w14:textId="77777777" w:rsidR="00FA3161" w:rsidRPr="00E6147B" w:rsidRDefault="00FA3161" w:rsidP="00FA3161">
      <w:pPr>
        <w:shd w:val="clear" w:color="auto" w:fill="FFFFFF"/>
        <w:spacing w:before="282" w:after="282" w:line="240" w:lineRule="auto"/>
        <w:outlineLvl w:val="2"/>
        <w:rPr>
          <w:rFonts w:ascii="Open Sans" w:eastAsia="Times New Roman" w:hAnsi="Open Sans" w:cs="Open Sans"/>
          <w:b/>
          <w:bCs/>
          <w:color w:val="292522"/>
          <w:sz w:val="21"/>
          <w:szCs w:val="21"/>
        </w:rPr>
      </w:pPr>
      <w:r w:rsidRPr="00E6147B">
        <w:rPr>
          <w:rFonts w:ascii="Open Sans" w:eastAsia="Times New Roman" w:hAnsi="Open Sans" w:cs="Open Sans"/>
          <w:b/>
          <w:bCs/>
          <w:color w:val="292522"/>
          <w:sz w:val="21"/>
          <w:szCs w:val="21"/>
        </w:rPr>
        <w:t>Eligibility under Titles I, II, and IV of ESSA</w:t>
      </w:r>
    </w:p>
    <w:p w14:paraId="42A67BE8" w14:textId="77777777" w:rsidR="00FA3161" w:rsidRPr="00E6147B" w:rsidRDefault="00FA3161" w:rsidP="00FA3161">
      <w:pPr>
        <w:shd w:val="clear" w:color="auto" w:fill="FFFFFF"/>
        <w:spacing w:before="330" w:after="330" w:line="263" w:lineRule="atLeast"/>
        <w:rPr>
          <w:rFonts w:ascii="Open Sans" w:eastAsia="Times New Roman" w:hAnsi="Open Sans" w:cs="Open Sans"/>
          <w:color w:val="292522"/>
          <w:sz w:val="21"/>
          <w:szCs w:val="21"/>
        </w:rPr>
      </w:pPr>
      <w:r w:rsidRPr="00E6147B">
        <w:rPr>
          <w:rFonts w:ascii="Open Sans" w:eastAsia="Times New Roman" w:hAnsi="Open Sans" w:cs="Open Sans"/>
          <w:color w:val="292522"/>
          <w:sz w:val="21"/>
          <w:szCs w:val="21"/>
        </w:rPr>
        <w:t xml:space="preserve">Along with the specified arts education funding under AAE, there are several other avenues for the arts to </w:t>
      </w:r>
      <w:r>
        <w:rPr>
          <w:rFonts w:ascii="Open Sans" w:eastAsia="Times New Roman" w:hAnsi="Open Sans" w:cs="Open Sans"/>
          <w:color w:val="292522"/>
          <w:sz w:val="21"/>
          <w:szCs w:val="21"/>
        </w:rPr>
        <w:t>receive</w:t>
      </w:r>
      <w:r w:rsidRPr="00E6147B">
        <w:rPr>
          <w:rFonts w:ascii="Open Sans" w:eastAsia="Times New Roman" w:hAnsi="Open Sans" w:cs="Open Sans"/>
          <w:color w:val="292522"/>
          <w:sz w:val="21"/>
          <w:szCs w:val="21"/>
        </w:rPr>
        <w:t xml:space="preserve"> funding within ESSA. Title I, which focuses on providing personnel, instruction, and interventions to help close achievement gaps, can be used to address the huge, persistent disparities </w:t>
      </w:r>
      <w:r>
        <w:rPr>
          <w:rFonts w:ascii="Open Sans" w:eastAsia="Times New Roman" w:hAnsi="Open Sans" w:cs="Open Sans"/>
          <w:color w:val="292522"/>
          <w:sz w:val="21"/>
          <w:szCs w:val="21"/>
        </w:rPr>
        <w:t>in</w:t>
      </w:r>
      <w:r w:rsidRPr="00E6147B">
        <w:rPr>
          <w:rFonts w:ascii="Open Sans" w:eastAsia="Times New Roman" w:hAnsi="Open Sans" w:cs="Open Sans"/>
          <w:color w:val="292522"/>
          <w:sz w:val="21"/>
          <w:szCs w:val="21"/>
        </w:rPr>
        <w:t xml:space="preserve"> access to arts education in public schools. Title II, which focuses on preparing, training, and recruiting </w:t>
      </w:r>
      <w:r>
        <w:rPr>
          <w:rFonts w:ascii="Open Sans" w:eastAsia="Times New Roman" w:hAnsi="Open Sans" w:cs="Open Sans"/>
          <w:color w:val="292522"/>
          <w:sz w:val="21"/>
          <w:szCs w:val="21"/>
        </w:rPr>
        <w:t>high-quality</w:t>
      </w:r>
      <w:r w:rsidRPr="00E6147B">
        <w:rPr>
          <w:rFonts w:ascii="Open Sans" w:eastAsia="Times New Roman" w:hAnsi="Open Sans" w:cs="Open Sans"/>
          <w:color w:val="292522"/>
          <w:sz w:val="21"/>
          <w:szCs w:val="21"/>
        </w:rPr>
        <w:t xml:space="preserve"> teachers, principals, and other school educators, can be utilized to obtain professional development funding for arts educators. Finally, Title IV, Part A, which contains the Student Support and Academic Enrichment Grants, may be used to support the arts as part of a well-rounded education.</w:t>
      </w:r>
    </w:p>
    <w:p w14:paraId="583E9668" w14:textId="77777777" w:rsidR="00FA3161" w:rsidRPr="00E6147B" w:rsidRDefault="00FA3161" w:rsidP="00FA3161">
      <w:pPr>
        <w:shd w:val="clear" w:color="auto" w:fill="FFFFFF"/>
        <w:spacing w:before="282" w:after="282" w:line="240" w:lineRule="auto"/>
        <w:outlineLvl w:val="2"/>
        <w:rPr>
          <w:rFonts w:ascii="Open Sans" w:eastAsia="Times New Roman" w:hAnsi="Open Sans" w:cs="Open Sans"/>
          <w:b/>
          <w:bCs/>
          <w:color w:val="292522"/>
          <w:sz w:val="21"/>
          <w:szCs w:val="21"/>
        </w:rPr>
      </w:pPr>
      <w:r w:rsidRPr="00E6147B">
        <w:rPr>
          <w:rFonts w:ascii="Open Sans" w:eastAsia="Times New Roman" w:hAnsi="Open Sans" w:cs="Open Sans"/>
          <w:b/>
          <w:bCs/>
          <w:color w:val="292522"/>
          <w:sz w:val="21"/>
          <w:szCs w:val="21"/>
        </w:rPr>
        <w:t>Assistance to Arts Education Program</w:t>
      </w:r>
    </w:p>
    <w:p w14:paraId="741D084B" w14:textId="1015397B" w:rsidR="00FA3161" w:rsidRDefault="00BC115A" w:rsidP="00FA3161">
      <w:pPr>
        <w:shd w:val="clear" w:color="auto" w:fill="FFFFFF"/>
        <w:spacing w:before="330" w:after="330" w:line="263" w:lineRule="atLeast"/>
        <w:rPr>
          <w:rFonts w:ascii="Open Sans" w:eastAsia="Times New Roman" w:hAnsi="Open Sans" w:cs="Open Sans"/>
          <w:color w:val="292522"/>
          <w:sz w:val="21"/>
          <w:szCs w:val="21"/>
        </w:rPr>
      </w:pPr>
      <w:r>
        <w:rPr>
          <w:rFonts w:ascii="Open Sans" w:eastAsia="Times New Roman" w:hAnsi="Open Sans" w:cs="Open Sans"/>
          <w:color w:val="292522"/>
          <w:sz w:val="21"/>
          <w:szCs w:val="21"/>
        </w:rPr>
        <w:t>T</w:t>
      </w:r>
      <w:r w:rsidR="00FA3161" w:rsidRPr="00E6147B">
        <w:rPr>
          <w:rFonts w:ascii="Open Sans" w:eastAsia="Times New Roman" w:hAnsi="Open Sans" w:cs="Open Sans"/>
          <w:color w:val="292522"/>
          <w:sz w:val="21"/>
          <w:szCs w:val="21"/>
        </w:rPr>
        <w:t xml:space="preserve">he Assistance for Arts Education program within ESSA has </w:t>
      </w:r>
      <w:r w:rsidR="00FA3161">
        <w:rPr>
          <w:rFonts w:ascii="Open Sans" w:eastAsia="Times New Roman" w:hAnsi="Open Sans" w:cs="Open Sans"/>
          <w:color w:val="292522"/>
          <w:sz w:val="21"/>
          <w:szCs w:val="21"/>
        </w:rPr>
        <w:t>received</w:t>
      </w:r>
      <w:r w:rsidR="00FA3161" w:rsidRPr="00E6147B">
        <w:rPr>
          <w:rFonts w:ascii="Open Sans" w:eastAsia="Times New Roman" w:hAnsi="Open Sans" w:cs="Open Sans"/>
          <w:color w:val="292522"/>
          <w:sz w:val="21"/>
          <w:szCs w:val="21"/>
        </w:rPr>
        <w:t xml:space="preserve"> consistent bipartisan support from Congress year after year, with the programming </w:t>
      </w:r>
      <w:r w:rsidR="00FA3161">
        <w:rPr>
          <w:rFonts w:ascii="Open Sans" w:eastAsia="Times New Roman" w:hAnsi="Open Sans" w:cs="Open Sans"/>
          <w:color w:val="292522"/>
          <w:sz w:val="21"/>
          <w:szCs w:val="21"/>
        </w:rPr>
        <w:t>receiving</w:t>
      </w:r>
      <w:r w:rsidR="00FA3161" w:rsidRPr="00E6147B">
        <w:rPr>
          <w:rFonts w:ascii="Open Sans" w:eastAsia="Times New Roman" w:hAnsi="Open Sans" w:cs="Open Sans"/>
          <w:color w:val="292522"/>
          <w:sz w:val="21"/>
          <w:szCs w:val="21"/>
        </w:rPr>
        <w:t xml:space="preserve"> a $500,000 increase to be funded at a level of $3</w:t>
      </w:r>
      <w:r>
        <w:rPr>
          <w:rFonts w:ascii="Open Sans" w:eastAsia="Times New Roman" w:hAnsi="Open Sans" w:cs="Open Sans"/>
          <w:color w:val="292522"/>
          <w:sz w:val="21"/>
          <w:szCs w:val="21"/>
        </w:rPr>
        <w:t>6</w:t>
      </w:r>
      <w:r w:rsidR="00FA3161" w:rsidRPr="00E6147B">
        <w:rPr>
          <w:rFonts w:ascii="Open Sans" w:eastAsia="Times New Roman" w:hAnsi="Open Sans" w:cs="Open Sans"/>
          <w:color w:val="292522"/>
          <w:sz w:val="21"/>
          <w:szCs w:val="21"/>
        </w:rPr>
        <w:t> million in FY 202</w:t>
      </w:r>
      <w:r>
        <w:rPr>
          <w:rFonts w:ascii="Open Sans" w:eastAsia="Times New Roman" w:hAnsi="Open Sans" w:cs="Open Sans"/>
          <w:color w:val="292522"/>
          <w:sz w:val="21"/>
          <w:szCs w:val="21"/>
        </w:rPr>
        <w:t>3</w:t>
      </w:r>
      <w:r w:rsidR="00FA3161" w:rsidRPr="00E6147B">
        <w:rPr>
          <w:rFonts w:ascii="Open Sans" w:eastAsia="Times New Roman" w:hAnsi="Open Sans" w:cs="Open Sans"/>
          <w:color w:val="292522"/>
          <w:sz w:val="21"/>
          <w:szCs w:val="21"/>
        </w:rPr>
        <w:t>. The Assistance for Arts Education (AAE) program, authorized under Title IV of ESSA, has directed arts education grants to more than 230 congressional districts in 33 states. These grants can be used to support standards-based arts education, integration of arts instruction into other subject areas, arts education projects targeted for low-income families and students with disabilities, and professional development for arts educators.</w:t>
      </w:r>
    </w:p>
    <w:p w14:paraId="66021F04" w14:textId="77777777" w:rsidR="00DF4A33" w:rsidRPr="00E6147B" w:rsidRDefault="00DF4A33" w:rsidP="00DF4A33">
      <w:pPr>
        <w:shd w:val="clear" w:color="auto" w:fill="FFFFFF"/>
        <w:spacing w:before="282" w:after="282" w:line="240" w:lineRule="auto"/>
        <w:outlineLvl w:val="2"/>
        <w:rPr>
          <w:rFonts w:ascii="Open Sans" w:eastAsia="Times New Roman" w:hAnsi="Open Sans" w:cs="Open Sans"/>
          <w:b/>
          <w:bCs/>
          <w:color w:val="292522"/>
          <w:sz w:val="21"/>
          <w:szCs w:val="21"/>
        </w:rPr>
      </w:pPr>
      <w:r w:rsidRPr="00E6147B">
        <w:rPr>
          <w:rFonts w:ascii="Open Sans" w:eastAsia="Times New Roman" w:hAnsi="Open Sans" w:cs="Open Sans"/>
          <w:b/>
          <w:bCs/>
          <w:color w:val="292522"/>
          <w:sz w:val="21"/>
          <w:szCs w:val="21"/>
        </w:rPr>
        <w:t xml:space="preserve">National Arts Education </w:t>
      </w:r>
      <w:r>
        <w:rPr>
          <w:rFonts w:ascii="Open Sans" w:eastAsia="Times New Roman" w:hAnsi="Open Sans" w:cs="Open Sans"/>
          <w:b/>
          <w:bCs/>
          <w:color w:val="292522"/>
          <w:sz w:val="21"/>
          <w:szCs w:val="21"/>
        </w:rPr>
        <w:t>Data Collection</w:t>
      </w:r>
    </w:p>
    <w:p w14:paraId="194ACF5F" w14:textId="16564ABC" w:rsidR="00DF4A33" w:rsidRDefault="00321876" w:rsidP="00FA3161">
      <w:pPr>
        <w:shd w:val="clear" w:color="auto" w:fill="FFFFFF"/>
        <w:spacing w:before="330" w:after="330" w:line="263" w:lineRule="atLeast"/>
        <w:rPr>
          <w:rFonts w:ascii="Open Sans" w:eastAsia="Times New Roman" w:hAnsi="Open Sans" w:cs="Open Sans"/>
          <w:color w:val="292522"/>
          <w:sz w:val="21"/>
          <w:szCs w:val="21"/>
        </w:rPr>
      </w:pPr>
      <w:r>
        <w:rPr>
          <w:rFonts w:ascii="Open Sans" w:eastAsia="Times New Roman" w:hAnsi="Open Sans" w:cs="Open Sans"/>
          <w:color w:val="292522"/>
          <w:sz w:val="21"/>
          <w:szCs w:val="21"/>
        </w:rPr>
        <w:t xml:space="preserve">The Education </w:t>
      </w:r>
      <w:r w:rsidR="001A3720">
        <w:rPr>
          <w:rFonts w:ascii="Open Sans" w:eastAsia="Times New Roman" w:hAnsi="Open Sans" w:cs="Open Sans"/>
          <w:color w:val="292522"/>
          <w:sz w:val="21"/>
          <w:szCs w:val="21"/>
        </w:rPr>
        <w:t>S</w:t>
      </w:r>
      <w:r w:rsidR="00460ECA">
        <w:rPr>
          <w:rFonts w:ascii="Open Sans" w:eastAsia="Times New Roman" w:hAnsi="Open Sans" w:cs="Open Sans"/>
          <w:color w:val="292522"/>
          <w:sz w:val="21"/>
          <w:szCs w:val="21"/>
        </w:rPr>
        <w:t>ciences</w:t>
      </w:r>
      <w:r w:rsidR="003122AA">
        <w:rPr>
          <w:rFonts w:ascii="Open Sans" w:eastAsia="Times New Roman" w:hAnsi="Open Sans" w:cs="Open Sans"/>
          <w:color w:val="292522"/>
          <w:sz w:val="21"/>
          <w:szCs w:val="21"/>
        </w:rPr>
        <w:t xml:space="preserve"> Reform Act must be reauthorized </w:t>
      </w:r>
      <w:r w:rsidR="00DF4A33" w:rsidRPr="00E6147B">
        <w:rPr>
          <w:rFonts w:ascii="Open Sans" w:eastAsia="Times New Roman" w:hAnsi="Open Sans" w:cs="Open Sans"/>
          <w:color w:val="292522"/>
          <w:sz w:val="21"/>
          <w:szCs w:val="21"/>
        </w:rPr>
        <w:t>to successfully provide, evaluate, and advocate for equitable arts education programs on a national scale</w:t>
      </w:r>
      <w:r w:rsidR="00FD6ADD">
        <w:rPr>
          <w:rFonts w:ascii="Open Sans" w:eastAsia="Times New Roman" w:hAnsi="Open Sans" w:cs="Open Sans"/>
          <w:color w:val="292522"/>
          <w:sz w:val="21"/>
          <w:szCs w:val="21"/>
        </w:rPr>
        <w:t xml:space="preserve"> </w:t>
      </w:r>
      <w:r w:rsidR="00BF22E7">
        <w:rPr>
          <w:rFonts w:ascii="Open Sans" w:eastAsia="Times New Roman" w:hAnsi="Open Sans" w:cs="Open Sans"/>
          <w:color w:val="292522"/>
          <w:sz w:val="21"/>
          <w:szCs w:val="21"/>
        </w:rPr>
        <w:t xml:space="preserve">with </w:t>
      </w:r>
      <w:r w:rsidR="00DF4A33" w:rsidRPr="00E6147B">
        <w:rPr>
          <w:rFonts w:ascii="Open Sans" w:eastAsia="Times New Roman" w:hAnsi="Open Sans" w:cs="Open Sans"/>
          <w:color w:val="292522"/>
          <w:sz w:val="21"/>
          <w:szCs w:val="21"/>
        </w:rPr>
        <w:t>the existence of accurate and up-to-date data. Particularly important are the </w:t>
      </w:r>
      <w:hyperlink r:id="rId7" w:tgtFrame="_blank" w:history="1">
        <w:r w:rsidR="00DF4A33" w:rsidRPr="00E6147B">
          <w:rPr>
            <w:rFonts w:ascii="Open Sans" w:eastAsia="Times New Roman" w:hAnsi="Open Sans" w:cs="Open Sans"/>
            <w:color w:val="0094B3"/>
            <w:sz w:val="21"/>
            <w:szCs w:val="21"/>
            <w:u w:val="single"/>
          </w:rPr>
          <w:t>Fast Response Survey System</w:t>
        </w:r>
      </w:hyperlink>
      <w:r w:rsidR="00DF4A33" w:rsidRPr="00E6147B">
        <w:rPr>
          <w:rFonts w:ascii="Open Sans" w:eastAsia="Times New Roman" w:hAnsi="Open Sans" w:cs="Open Sans"/>
          <w:color w:val="292522"/>
          <w:sz w:val="21"/>
          <w:szCs w:val="21"/>
        </w:rPr>
        <w:t xml:space="preserve"> in Arts Education study, which measures arts education access in various communities around the </w:t>
      </w:r>
      <w:r w:rsidR="00DF4A33" w:rsidRPr="00E6147B">
        <w:rPr>
          <w:rFonts w:ascii="Open Sans" w:eastAsia="Times New Roman" w:hAnsi="Open Sans" w:cs="Open Sans"/>
          <w:color w:val="292522"/>
          <w:sz w:val="21"/>
          <w:szCs w:val="21"/>
        </w:rPr>
        <w:lastRenderedPageBreak/>
        <w:t>country, and the </w:t>
      </w:r>
      <w:hyperlink r:id="rId8" w:tgtFrame="_blank" w:history="1">
        <w:r w:rsidR="00DF4A33" w:rsidRPr="00E6147B">
          <w:rPr>
            <w:rFonts w:ascii="Open Sans" w:eastAsia="Times New Roman" w:hAnsi="Open Sans" w:cs="Open Sans"/>
            <w:color w:val="0094B3"/>
            <w:sz w:val="21"/>
            <w:szCs w:val="21"/>
            <w:u w:val="single"/>
          </w:rPr>
          <w:t>National Assessment of Educational Progress </w:t>
        </w:r>
      </w:hyperlink>
      <w:r w:rsidR="00DF4A33" w:rsidRPr="00E6147B">
        <w:rPr>
          <w:rFonts w:ascii="Open Sans" w:eastAsia="Times New Roman" w:hAnsi="Open Sans" w:cs="Open Sans"/>
          <w:color w:val="292522"/>
          <w:sz w:val="21"/>
          <w:szCs w:val="21"/>
        </w:rPr>
        <w:t>(NAEP), which measures student proficiency in dance, theater, music, and visual arts. The most recent FRSS study in Arts Education was released in 2012, meaning that much of the data may no longer be applicable. While the</w:t>
      </w:r>
      <w:hyperlink r:id="rId9" w:tgtFrame="_blank" w:history="1">
        <w:r w:rsidR="00DF4A33" w:rsidRPr="00E6147B">
          <w:rPr>
            <w:rFonts w:ascii="Open Sans" w:eastAsia="Times New Roman" w:hAnsi="Open Sans" w:cs="Open Sans"/>
            <w:color w:val="0094B3"/>
            <w:sz w:val="21"/>
            <w:szCs w:val="21"/>
            <w:u w:val="single"/>
          </w:rPr>
          <w:t> newest NAEP data for the arts </w:t>
        </w:r>
      </w:hyperlink>
      <w:r w:rsidR="00DF4A33" w:rsidRPr="00E6147B">
        <w:rPr>
          <w:rFonts w:ascii="Open Sans" w:eastAsia="Times New Roman" w:hAnsi="Open Sans" w:cs="Open Sans"/>
          <w:color w:val="292522"/>
          <w:sz w:val="21"/>
          <w:szCs w:val="21"/>
        </w:rPr>
        <w:t>is more recent (published in 2016), the arts were </w:t>
      </w:r>
      <w:hyperlink r:id="rId10" w:tgtFrame="_blank" w:history="1">
        <w:r w:rsidR="00DF4A33" w:rsidRPr="00E6147B">
          <w:rPr>
            <w:rFonts w:ascii="Open Sans" w:eastAsia="Times New Roman" w:hAnsi="Open Sans" w:cs="Open Sans"/>
            <w:color w:val="0094B3"/>
            <w:sz w:val="21"/>
            <w:szCs w:val="21"/>
            <w:u w:val="single"/>
          </w:rPr>
          <w:t>recently removed</w:t>
        </w:r>
      </w:hyperlink>
      <w:r w:rsidR="00DF4A33" w:rsidRPr="00E6147B">
        <w:rPr>
          <w:rFonts w:ascii="Open Sans" w:eastAsia="Times New Roman" w:hAnsi="Open Sans" w:cs="Open Sans"/>
          <w:color w:val="292522"/>
          <w:sz w:val="21"/>
          <w:szCs w:val="21"/>
        </w:rPr>
        <w:t xml:space="preserve"> from the </w:t>
      </w:r>
      <w:r w:rsidR="00DF4A33">
        <w:rPr>
          <w:rFonts w:ascii="Open Sans" w:eastAsia="Times New Roman" w:hAnsi="Open Sans" w:cs="Open Sans"/>
          <w:color w:val="292522"/>
          <w:sz w:val="21"/>
          <w:szCs w:val="21"/>
        </w:rPr>
        <w:t>10-year</w:t>
      </w:r>
      <w:r w:rsidR="00DF4A33" w:rsidRPr="00E6147B">
        <w:rPr>
          <w:rFonts w:ascii="Open Sans" w:eastAsia="Times New Roman" w:hAnsi="Open Sans" w:cs="Open Sans"/>
          <w:color w:val="292522"/>
          <w:sz w:val="21"/>
          <w:szCs w:val="21"/>
        </w:rPr>
        <w:t xml:space="preserve"> calendar of assessments by the National Assessment Governing Board. The continuation of the FRSS and NAEP serve as invaluable sources of data in understanding the state of arts on a national scale.</w:t>
      </w:r>
    </w:p>
    <w:p w14:paraId="70964998" w14:textId="17BC1552" w:rsidR="00BC115A" w:rsidRDefault="00BC115A" w:rsidP="00BC115A">
      <w:pPr>
        <w:spacing w:after="0" w:line="240" w:lineRule="auto"/>
        <w:jc w:val="both"/>
        <w:rPr>
          <w:rFonts w:ascii="Open Sans" w:eastAsia="Times New Roman" w:hAnsi="Open Sans" w:cs="Open Sans"/>
          <w:b/>
          <w:bCs/>
          <w:color w:val="000000"/>
          <w:sz w:val="21"/>
          <w:szCs w:val="21"/>
        </w:rPr>
      </w:pPr>
      <w:r w:rsidRPr="00DA03F1">
        <w:rPr>
          <w:rFonts w:ascii="Open Sans" w:eastAsia="Times New Roman" w:hAnsi="Open Sans" w:cs="Open Sans"/>
          <w:b/>
          <w:bCs/>
          <w:color w:val="000000"/>
          <w:sz w:val="21"/>
          <w:szCs w:val="21"/>
        </w:rPr>
        <w:t>We urge Congress to: </w:t>
      </w:r>
    </w:p>
    <w:p w14:paraId="258AB1C0" w14:textId="77777777" w:rsidR="00BC115A" w:rsidRPr="00DA03F1" w:rsidRDefault="00BC115A" w:rsidP="00BC115A">
      <w:pPr>
        <w:spacing w:after="0" w:line="240" w:lineRule="auto"/>
        <w:jc w:val="both"/>
        <w:rPr>
          <w:rFonts w:ascii="Times New Roman" w:eastAsia="Times New Roman" w:hAnsi="Times New Roman" w:cs="Times New Roman"/>
          <w:sz w:val="24"/>
          <w:szCs w:val="24"/>
        </w:rPr>
      </w:pPr>
    </w:p>
    <w:p w14:paraId="50925004" w14:textId="77777777" w:rsidR="00BC115A" w:rsidRPr="00DA03F1" w:rsidRDefault="00BC115A" w:rsidP="00BC115A">
      <w:pPr>
        <w:numPr>
          <w:ilvl w:val="0"/>
          <w:numId w:val="3"/>
        </w:numPr>
        <w:spacing w:after="0" w:line="240" w:lineRule="auto"/>
        <w:jc w:val="both"/>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 xml:space="preserve">Strengthen equitable access to arts education through the Well-Rounded Education provisions of </w:t>
      </w:r>
      <w:proofErr w:type="gramStart"/>
      <w:r w:rsidRPr="00DA03F1">
        <w:rPr>
          <w:rFonts w:ascii="Open Sans" w:eastAsia="Times New Roman" w:hAnsi="Open Sans" w:cs="Open Sans"/>
          <w:color w:val="000000"/>
          <w:sz w:val="21"/>
          <w:szCs w:val="21"/>
        </w:rPr>
        <w:t xml:space="preserve">the </w:t>
      </w:r>
      <w:r w:rsidRPr="00DA03F1">
        <w:rPr>
          <w:rFonts w:ascii="Open Sans" w:eastAsia="Times New Roman" w:hAnsi="Open Sans" w:cs="Open Sans"/>
          <w:i/>
          <w:iCs/>
          <w:color w:val="000000"/>
          <w:sz w:val="21"/>
          <w:szCs w:val="21"/>
        </w:rPr>
        <w:t>Every</w:t>
      </w:r>
      <w:proofErr w:type="gramEnd"/>
      <w:r w:rsidRPr="00DA03F1">
        <w:rPr>
          <w:rFonts w:ascii="Open Sans" w:eastAsia="Times New Roman" w:hAnsi="Open Sans" w:cs="Open Sans"/>
          <w:i/>
          <w:iCs/>
          <w:color w:val="000000"/>
          <w:sz w:val="21"/>
          <w:szCs w:val="21"/>
        </w:rPr>
        <w:t xml:space="preserve"> Student Succeeds</w:t>
      </w:r>
      <w:r w:rsidRPr="00DA03F1">
        <w:rPr>
          <w:rFonts w:ascii="Open Sans" w:eastAsia="Times New Roman" w:hAnsi="Open Sans" w:cs="Open Sans"/>
          <w:color w:val="000000"/>
          <w:sz w:val="21"/>
          <w:szCs w:val="21"/>
        </w:rPr>
        <w:t xml:space="preserve"> </w:t>
      </w:r>
      <w:r w:rsidRPr="00DA03F1">
        <w:rPr>
          <w:rFonts w:ascii="Open Sans" w:eastAsia="Times New Roman" w:hAnsi="Open Sans" w:cs="Open Sans"/>
          <w:i/>
          <w:iCs/>
          <w:color w:val="000000"/>
          <w:sz w:val="21"/>
          <w:szCs w:val="21"/>
        </w:rPr>
        <w:t>Act (ESSA).</w:t>
      </w:r>
    </w:p>
    <w:p w14:paraId="181496C7" w14:textId="77777777" w:rsidR="00BC115A" w:rsidRPr="002A0EFC" w:rsidRDefault="00BC115A" w:rsidP="00BC115A">
      <w:pPr>
        <w:numPr>
          <w:ilvl w:val="0"/>
          <w:numId w:val="4"/>
        </w:numPr>
        <w:spacing w:after="0" w:line="240" w:lineRule="auto"/>
        <w:jc w:val="both"/>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Fund the U.S. Department of Education’s Assistance to Arts Education program at $40 million.</w:t>
      </w:r>
    </w:p>
    <w:p w14:paraId="68E9044B" w14:textId="77777777" w:rsidR="00BC115A" w:rsidRPr="002D3584" w:rsidRDefault="00BC115A" w:rsidP="00BC115A">
      <w:pPr>
        <w:numPr>
          <w:ilvl w:val="0"/>
          <w:numId w:val="4"/>
        </w:numPr>
        <w:spacing w:after="0" w:line="240" w:lineRule="auto"/>
        <w:jc w:val="both"/>
        <w:textAlignment w:val="baseline"/>
        <w:rPr>
          <w:rFonts w:ascii="Arial" w:eastAsia="Times New Roman" w:hAnsi="Arial" w:cs="Arial"/>
          <w:b/>
          <w:bCs/>
          <w:color w:val="000000"/>
          <w:sz w:val="21"/>
          <w:szCs w:val="21"/>
        </w:rPr>
      </w:pPr>
      <w:r>
        <w:rPr>
          <w:rFonts w:ascii="Open Sans" w:eastAsia="Times New Roman" w:hAnsi="Open Sans" w:cs="Open Sans"/>
          <w:color w:val="000000"/>
          <w:sz w:val="21"/>
          <w:szCs w:val="21"/>
        </w:rPr>
        <w:t>Appropriate the President’s request of $20.5 billion for Title I, Part A to help disadvantaged children achieve proficiency in arts education and improve arts education programs in low-achieving schools.</w:t>
      </w:r>
    </w:p>
    <w:p w14:paraId="4E568D55" w14:textId="77777777" w:rsidR="00BC115A" w:rsidRPr="00890235" w:rsidRDefault="00BC115A" w:rsidP="00BC115A">
      <w:pPr>
        <w:numPr>
          <w:ilvl w:val="0"/>
          <w:numId w:val="4"/>
        </w:numPr>
        <w:spacing w:after="0" w:line="240" w:lineRule="auto"/>
        <w:jc w:val="both"/>
        <w:textAlignment w:val="baseline"/>
        <w:rPr>
          <w:rFonts w:ascii="Arial" w:eastAsia="Times New Roman" w:hAnsi="Arial" w:cs="Arial"/>
          <w:b/>
          <w:bCs/>
          <w:color w:val="000000"/>
          <w:sz w:val="21"/>
          <w:szCs w:val="21"/>
        </w:rPr>
      </w:pPr>
      <w:r>
        <w:rPr>
          <w:rFonts w:ascii="Open Sans" w:eastAsia="Times New Roman" w:hAnsi="Open Sans" w:cs="Open Sans"/>
          <w:color w:val="000000"/>
          <w:sz w:val="21"/>
          <w:szCs w:val="21"/>
        </w:rPr>
        <w:t xml:space="preserve">Support professional development for arts educators and increase the number of high-quality teachers by appropriating $2.4 billion for Title II, Part A. </w:t>
      </w:r>
    </w:p>
    <w:p w14:paraId="6978D8C8" w14:textId="77777777" w:rsidR="00BC115A" w:rsidRPr="00DA03F1" w:rsidRDefault="00BC115A" w:rsidP="00BC115A">
      <w:pPr>
        <w:numPr>
          <w:ilvl w:val="0"/>
          <w:numId w:val="4"/>
        </w:numPr>
        <w:spacing w:after="0" w:line="240" w:lineRule="auto"/>
        <w:jc w:val="both"/>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Provide $</w:t>
      </w:r>
      <w:r>
        <w:rPr>
          <w:rFonts w:ascii="Open Sans" w:eastAsia="Times New Roman" w:hAnsi="Open Sans" w:cs="Open Sans"/>
          <w:color w:val="000000"/>
          <w:sz w:val="21"/>
          <w:szCs w:val="21"/>
        </w:rPr>
        <w:t>1.65</w:t>
      </w:r>
      <w:r w:rsidRPr="00DA03F1">
        <w:rPr>
          <w:rFonts w:ascii="Open Sans" w:eastAsia="Times New Roman" w:hAnsi="Open Sans" w:cs="Open Sans"/>
          <w:color w:val="000000"/>
          <w:sz w:val="21"/>
          <w:szCs w:val="21"/>
        </w:rPr>
        <w:t xml:space="preserve"> billion in support for the Student Support &amp; Academic Enrichment Grants under Title IV, Part A, to support Well-Rounded Education.</w:t>
      </w:r>
    </w:p>
    <w:p w14:paraId="5C2167DE" w14:textId="77777777" w:rsidR="00BC115A" w:rsidRPr="00DA03F1" w:rsidRDefault="00BC115A" w:rsidP="00BC115A">
      <w:pPr>
        <w:numPr>
          <w:ilvl w:val="0"/>
          <w:numId w:val="4"/>
        </w:numPr>
        <w:spacing w:after="0" w:line="240" w:lineRule="auto"/>
        <w:jc w:val="both"/>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Provide $1.8 billion in support for the Nita Lowey 21st Century Community Learning Centers (21stCCLC) after-school program. </w:t>
      </w:r>
    </w:p>
    <w:p w14:paraId="089A891E" w14:textId="77777777" w:rsidR="00BC115A" w:rsidRPr="00DA03F1" w:rsidRDefault="00BC115A" w:rsidP="00BC115A">
      <w:pPr>
        <w:numPr>
          <w:ilvl w:val="0"/>
          <w:numId w:val="4"/>
        </w:numPr>
        <w:spacing w:after="0" w:line="240" w:lineRule="auto"/>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Require the U.S. Department of Education to issue annual policy memoranda promoting the eligibility under current law for the arts to be supported through Title I funds and through professional development opportunities for arts educators under Title II.</w:t>
      </w:r>
    </w:p>
    <w:p w14:paraId="323D313A" w14:textId="5A2D784B" w:rsidR="00BC115A" w:rsidRDefault="00BC115A" w:rsidP="00D2559A">
      <w:pPr>
        <w:numPr>
          <w:ilvl w:val="0"/>
          <w:numId w:val="4"/>
        </w:numPr>
        <w:spacing w:after="0" w:line="240" w:lineRule="auto"/>
        <w:textAlignment w:val="baseline"/>
        <w:rPr>
          <w:rFonts w:ascii="Arial" w:eastAsia="Times New Roman" w:hAnsi="Arial" w:cs="Arial"/>
          <w:b/>
          <w:bCs/>
          <w:color w:val="000000"/>
          <w:sz w:val="21"/>
          <w:szCs w:val="21"/>
        </w:rPr>
      </w:pPr>
      <w:r w:rsidRPr="00DA03F1">
        <w:rPr>
          <w:rFonts w:ascii="Open Sans" w:eastAsia="Times New Roman" w:hAnsi="Open Sans" w:cs="Open Sans"/>
          <w:color w:val="000000"/>
          <w:sz w:val="21"/>
          <w:szCs w:val="21"/>
        </w:rPr>
        <w:t xml:space="preserve">Provide at least $4 million for the Institute of Education Science to implement a Fast Response Survey System (FRSS) study in the arts; include pre-K–12 arts education in the annual School and Staffing Survey and other data instruments; </w:t>
      </w:r>
      <w:proofErr w:type="gramStart"/>
      <w:r w:rsidRPr="00DA03F1">
        <w:rPr>
          <w:rFonts w:ascii="Open Sans" w:eastAsia="Times New Roman" w:hAnsi="Open Sans" w:cs="Open Sans"/>
          <w:color w:val="000000"/>
          <w:sz w:val="21"/>
          <w:szCs w:val="21"/>
        </w:rPr>
        <w:t>and,</w:t>
      </w:r>
      <w:proofErr w:type="gramEnd"/>
      <w:r w:rsidRPr="00DA03F1">
        <w:rPr>
          <w:rFonts w:ascii="Open Sans" w:eastAsia="Times New Roman" w:hAnsi="Open Sans" w:cs="Open Sans"/>
          <w:color w:val="000000"/>
          <w:sz w:val="21"/>
          <w:szCs w:val="21"/>
        </w:rPr>
        <w:t xml:space="preserve"> restore and appropriately fund the arts in the National Assessment of Educational Progress (NAEP), including full and robust assessments in dance, theater, media arts, music, and visual art.     </w:t>
      </w:r>
    </w:p>
    <w:p w14:paraId="1D6CC065" w14:textId="77777777" w:rsidR="00D2559A" w:rsidRPr="00D2559A" w:rsidRDefault="00D2559A" w:rsidP="00D2559A">
      <w:pPr>
        <w:spacing w:after="0" w:line="240" w:lineRule="auto"/>
        <w:ind w:left="720"/>
        <w:textAlignment w:val="baseline"/>
        <w:rPr>
          <w:rFonts w:ascii="Arial" w:eastAsia="Times New Roman" w:hAnsi="Arial" w:cs="Arial"/>
          <w:b/>
          <w:bCs/>
          <w:color w:val="000000"/>
          <w:sz w:val="21"/>
          <w:szCs w:val="21"/>
        </w:rPr>
      </w:pPr>
    </w:p>
    <w:p w14:paraId="2EC9024E" w14:textId="77777777" w:rsidR="00D2559A" w:rsidRPr="00B93D86" w:rsidRDefault="00D2559A" w:rsidP="00D2559A">
      <w:pPr>
        <w:spacing w:after="0" w:line="240" w:lineRule="auto"/>
        <w:ind w:left="360" w:right="-1005"/>
        <w:jc w:val="both"/>
        <w:textAlignment w:val="baseline"/>
        <w:rPr>
          <w:rFonts w:ascii="Open Sans" w:eastAsia="Times New Roman" w:hAnsi="Open Sans" w:cs="Open Sans"/>
          <w:color w:val="000000"/>
        </w:rPr>
      </w:pPr>
    </w:p>
    <w:p w14:paraId="706A3F27" w14:textId="0D3C4EB6" w:rsidR="00D2559A" w:rsidRPr="00B93D86" w:rsidRDefault="00EE3E21" w:rsidP="00D2559A">
      <w:pPr>
        <w:spacing w:after="0" w:line="240" w:lineRule="auto"/>
        <w:ind w:left="360" w:right="-1005"/>
        <w:jc w:val="both"/>
        <w:textAlignment w:val="baseline"/>
        <w:rPr>
          <w:rFonts w:ascii="Open Sans" w:eastAsia="Times New Roman" w:hAnsi="Open Sans" w:cs="Open Sans"/>
          <w:i/>
          <w:iCs/>
          <w:color w:val="000000"/>
        </w:rPr>
      </w:pPr>
      <w:r w:rsidRPr="00EE3E21">
        <w:rPr>
          <w:b/>
          <w:bCs/>
          <w:i/>
          <w:iCs/>
          <w:sz w:val="20"/>
          <w:szCs w:val="20"/>
        </w:rPr>
        <w:t>Source:</w:t>
      </w:r>
      <w:r>
        <w:rPr>
          <w:i/>
          <w:iCs/>
          <w:sz w:val="20"/>
          <w:szCs w:val="20"/>
        </w:rPr>
        <w:t xml:space="preserve"> </w:t>
      </w:r>
      <w:r w:rsidR="00D2559A" w:rsidRPr="00B93D86">
        <w:rPr>
          <w:i/>
          <w:iCs/>
          <w:sz w:val="20"/>
          <w:szCs w:val="20"/>
        </w:rPr>
        <w:t>Content assembled by the Cultural Advocacy Group, a collaboration of arts and culture stakeholders working collectively to advance federal policy, and by Americans for the Arts.</w:t>
      </w:r>
    </w:p>
    <w:p w14:paraId="193733AB" w14:textId="037F5DE3" w:rsidR="00D20BA2" w:rsidRPr="0013507B" w:rsidRDefault="00D20BA2" w:rsidP="0013507B">
      <w:pPr>
        <w:rPr>
          <w:sz w:val="28"/>
          <w:szCs w:val="28"/>
        </w:rPr>
      </w:pPr>
    </w:p>
    <w:sectPr w:rsidR="00D20BA2" w:rsidRPr="0013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397E"/>
    <w:multiLevelType w:val="multilevel"/>
    <w:tmpl w:val="BAB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D753C"/>
    <w:multiLevelType w:val="hybridMultilevel"/>
    <w:tmpl w:val="9B9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B789F"/>
    <w:multiLevelType w:val="hybridMultilevel"/>
    <w:tmpl w:val="5FE069E6"/>
    <w:lvl w:ilvl="0" w:tplc="48F07F9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F1755"/>
    <w:multiLevelType w:val="multilevel"/>
    <w:tmpl w:val="810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2875133">
    <w:abstractNumId w:val="1"/>
  </w:num>
  <w:num w:numId="2" w16cid:durableId="2001694741">
    <w:abstractNumId w:val="2"/>
  </w:num>
  <w:num w:numId="3" w16cid:durableId="57172328">
    <w:abstractNumId w:val="3"/>
  </w:num>
  <w:num w:numId="4" w16cid:durableId="29067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FE"/>
    <w:rsid w:val="0002654E"/>
    <w:rsid w:val="0013507B"/>
    <w:rsid w:val="001A3720"/>
    <w:rsid w:val="001D0C27"/>
    <w:rsid w:val="003122AA"/>
    <w:rsid w:val="00321876"/>
    <w:rsid w:val="00460ECA"/>
    <w:rsid w:val="00584DFE"/>
    <w:rsid w:val="0062426C"/>
    <w:rsid w:val="006B5C3A"/>
    <w:rsid w:val="00BC115A"/>
    <w:rsid w:val="00BF22E7"/>
    <w:rsid w:val="00C357B6"/>
    <w:rsid w:val="00CA23F9"/>
    <w:rsid w:val="00D20BA2"/>
    <w:rsid w:val="00D2559A"/>
    <w:rsid w:val="00DF4A33"/>
    <w:rsid w:val="00E9288B"/>
    <w:rsid w:val="00EE3E21"/>
    <w:rsid w:val="00FA3161"/>
    <w:rsid w:val="00F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79FE"/>
  <w15:chartTrackingRefBased/>
  <w15:docId w15:val="{AB5E3100-AE89-4685-81AD-B3623AAE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 TargetMode="External"/><Relationship Id="rId3" Type="http://schemas.openxmlformats.org/officeDocument/2006/relationships/settings" Target="settings.xml"/><Relationship Id="rId7" Type="http://schemas.openxmlformats.org/officeDocument/2006/relationships/hyperlink" Target="https://nces.ed.gov/surveys/frss/publications/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week.org/ew/articles/2019/07/24/nations-report-card-to-get-trimmed-four.html" TargetMode="External"/><Relationship Id="rId4" Type="http://schemas.openxmlformats.org/officeDocument/2006/relationships/webSettings" Target="webSettings.xml"/><Relationship Id="rId9" Type="http://schemas.openxmlformats.org/officeDocument/2006/relationships/hyperlink" Target="https://nces.ed.gov/nationsreportcar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4336</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5</cp:revision>
  <cp:lastPrinted>2023-04-17T16:39:00Z</cp:lastPrinted>
  <dcterms:created xsi:type="dcterms:W3CDTF">2023-04-16T17:22:00Z</dcterms:created>
  <dcterms:modified xsi:type="dcterms:W3CDTF">2023-04-20T15:26:00Z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fbbfcbb3-1d05-4af1-9953-717ece97eccf</vt:lpwstr>
  </property>
</Properties>
</file>