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8066" w14:textId="6035A867" w:rsidR="007659B3" w:rsidRDefault="002F7713" w:rsidP="00F0011B">
      <w:pPr>
        <w:shd w:val="clear" w:color="auto" w:fill="FFFFFF"/>
        <w:spacing w:before="330" w:after="330" w:line="263" w:lineRule="atLeast"/>
        <w:jc w:val="center"/>
        <w:rPr>
          <w:rFonts w:ascii="Open Sans" w:eastAsia="Times New Roman" w:hAnsi="Open Sans" w:cs="Open Sans"/>
          <w:b/>
          <w:bCs/>
          <w:color w:val="292522"/>
          <w:sz w:val="24"/>
          <w:szCs w:val="24"/>
        </w:rPr>
      </w:pPr>
      <w:r>
        <w:rPr>
          <w:noProof/>
        </w:rPr>
        <w:drawing>
          <wp:inline distT="0" distB="0" distL="0" distR="0" wp14:anchorId="361794E0" wp14:editId="41B71B5C">
            <wp:extent cx="798830" cy="920750"/>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920750"/>
                    </a:xfrm>
                    <a:prstGeom prst="rect">
                      <a:avLst/>
                    </a:prstGeom>
                    <a:noFill/>
                  </pic:spPr>
                </pic:pic>
              </a:graphicData>
            </a:graphic>
          </wp:inline>
        </w:drawing>
      </w:r>
      <w:r>
        <w:rPr>
          <w:noProof/>
        </w:rPr>
        <w:drawing>
          <wp:inline distT="0" distB="0" distL="0" distR="0" wp14:anchorId="28A164ED" wp14:editId="52A99D08">
            <wp:extent cx="1993900" cy="980683"/>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368" cy="988291"/>
                    </a:xfrm>
                    <a:prstGeom prst="rect">
                      <a:avLst/>
                    </a:prstGeom>
                    <a:noFill/>
                    <a:ln>
                      <a:noFill/>
                    </a:ln>
                  </pic:spPr>
                </pic:pic>
              </a:graphicData>
            </a:graphic>
          </wp:inline>
        </w:drawing>
      </w:r>
    </w:p>
    <w:p w14:paraId="0319A223" w14:textId="57980C9F" w:rsidR="00F0011B" w:rsidRPr="005C0052" w:rsidRDefault="00F0011B" w:rsidP="00F0011B">
      <w:pPr>
        <w:shd w:val="clear" w:color="auto" w:fill="FFFFFF"/>
        <w:spacing w:after="0" w:line="240" w:lineRule="auto"/>
        <w:jc w:val="center"/>
        <w:rPr>
          <w:rFonts w:ascii="Open Sans" w:eastAsia="Times New Roman" w:hAnsi="Open Sans" w:cs="Open Sans"/>
          <w:b/>
          <w:bCs/>
          <w:color w:val="292522"/>
          <w:sz w:val="24"/>
          <w:szCs w:val="24"/>
        </w:rPr>
      </w:pPr>
      <w:r w:rsidRPr="005C0052">
        <w:rPr>
          <w:rFonts w:ascii="Open Sans" w:eastAsia="Times New Roman" w:hAnsi="Open Sans" w:cs="Open Sans"/>
          <w:b/>
          <w:bCs/>
          <w:color w:val="292522"/>
          <w:sz w:val="24"/>
          <w:szCs w:val="24"/>
        </w:rPr>
        <w:t>Advancing Equity in the Arts and Humanities Act of 202</w:t>
      </w:r>
      <w:r w:rsidR="00E76216" w:rsidRPr="005C0052">
        <w:rPr>
          <w:rFonts w:ascii="Open Sans" w:eastAsia="Times New Roman" w:hAnsi="Open Sans" w:cs="Open Sans"/>
          <w:b/>
          <w:bCs/>
          <w:color w:val="292522"/>
          <w:sz w:val="24"/>
          <w:szCs w:val="24"/>
        </w:rPr>
        <w:t>3</w:t>
      </w:r>
    </w:p>
    <w:p w14:paraId="0A2FE155" w14:textId="51DA06A1" w:rsidR="00F0011B" w:rsidRPr="005C0052" w:rsidRDefault="00F0011B" w:rsidP="00F0011B">
      <w:pPr>
        <w:shd w:val="clear" w:color="auto" w:fill="FFFFFF"/>
        <w:spacing w:after="0" w:line="240" w:lineRule="auto"/>
        <w:jc w:val="center"/>
        <w:rPr>
          <w:rFonts w:ascii="Open Sans" w:eastAsia="Times New Roman" w:hAnsi="Open Sans" w:cs="Open Sans"/>
          <w:b/>
          <w:bCs/>
          <w:color w:val="292522"/>
          <w:sz w:val="24"/>
          <w:szCs w:val="24"/>
        </w:rPr>
      </w:pPr>
      <w:r w:rsidRPr="005C0052">
        <w:rPr>
          <w:rFonts w:ascii="Open Sans" w:eastAsia="Times New Roman" w:hAnsi="Open Sans" w:cs="Open Sans"/>
          <w:b/>
          <w:bCs/>
          <w:color w:val="292522"/>
          <w:sz w:val="24"/>
          <w:szCs w:val="24"/>
        </w:rPr>
        <w:t>H.R. 3239</w:t>
      </w:r>
    </w:p>
    <w:p w14:paraId="1011555E" w14:textId="72C2D261" w:rsidR="00E76216" w:rsidRPr="00756394" w:rsidRDefault="00E76216" w:rsidP="007659B3">
      <w:pPr>
        <w:shd w:val="clear" w:color="auto" w:fill="FFFFFF"/>
        <w:spacing w:before="330" w:after="330" w:line="263" w:lineRule="atLeast"/>
        <w:rPr>
          <w:rFonts w:ascii="Open Sans" w:eastAsia="Times New Roman" w:hAnsi="Open Sans" w:cs="Open Sans"/>
          <w:b/>
          <w:bCs/>
          <w:color w:val="000000"/>
        </w:rPr>
      </w:pPr>
      <w:r w:rsidRPr="00756394">
        <w:rPr>
          <w:rFonts w:ascii="Open Sans" w:eastAsia="Times New Roman" w:hAnsi="Open Sans" w:cs="Open Sans"/>
          <w:b/>
          <w:bCs/>
          <w:color w:val="000000"/>
        </w:rPr>
        <w:t xml:space="preserve">We urge </w:t>
      </w:r>
      <w:r w:rsidR="005C0052">
        <w:rPr>
          <w:rFonts w:ascii="Open Sans" w:eastAsia="Times New Roman" w:hAnsi="Open Sans" w:cs="Open Sans"/>
          <w:b/>
          <w:bCs/>
          <w:color w:val="000000"/>
        </w:rPr>
        <w:t>Members</w:t>
      </w:r>
      <w:r w:rsidRPr="00756394">
        <w:rPr>
          <w:rFonts w:ascii="Open Sans" w:eastAsia="Times New Roman" w:hAnsi="Open Sans" w:cs="Open Sans"/>
          <w:b/>
          <w:bCs/>
          <w:color w:val="000000"/>
        </w:rPr>
        <w:t xml:space="preserve"> of Congress to:</w:t>
      </w:r>
    </w:p>
    <w:p w14:paraId="22C8734D" w14:textId="6FFA235E" w:rsidR="002A2E16" w:rsidRPr="00756394" w:rsidRDefault="00E76216" w:rsidP="007659B3">
      <w:pPr>
        <w:shd w:val="clear" w:color="auto" w:fill="FFFFFF"/>
        <w:spacing w:before="330" w:after="330" w:line="263" w:lineRule="atLeast"/>
        <w:rPr>
          <w:rFonts w:ascii="Open Sans" w:eastAsia="Times New Roman" w:hAnsi="Open Sans" w:cs="Open Sans"/>
          <w:color w:val="000000"/>
        </w:rPr>
      </w:pPr>
      <w:r w:rsidRPr="002152DB">
        <w:rPr>
          <w:rFonts w:ascii="Open Sans" w:eastAsia="Times New Roman" w:hAnsi="Open Sans" w:cs="Open Sans"/>
          <w:color w:val="000000"/>
          <w:u w:val="single"/>
        </w:rPr>
        <w:t>Co-Sponsor H.R. 3239</w:t>
      </w:r>
      <w:r w:rsidRPr="00756394">
        <w:rPr>
          <w:rFonts w:ascii="Open Sans" w:eastAsia="Times New Roman" w:hAnsi="Open Sans" w:cs="Open Sans"/>
          <w:color w:val="000000"/>
        </w:rPr>
        <w:t xml:space="preserve">, </w:t>
      </w:r>
      <w:r w:rsidR="002A2E16" w:rsidRPr="00756394">
        <w:rPr>
          <w:rFonts w:ascii="Open Sans" w:eastAsia="Times New Roman" w:hAnsi="Open Sans" w:cs="Open Sans"/>
          <w:color w:val="000000"/>
        </w:rPr>
        <w:t>t</w:t>
      </w:r>
      <w:r w:rsidRPr="00756394">
        <w:rPr>
          <w:rFonts w:ascii="Open Sans" w:eastAsia="Times New Roman" w:hAnsi="Open Sans" w:cs="Open Sans"/>
          <w:color w:val="000000"/>
        </w:rPr>
        <w:t>he Advancing Equity in the Arts and Humanities Act of 2023.</w:t>
      </w:r>
      <w:r w:rsidR="002A2E16" w:rsidRPr="00756394">
        <w:rPr>
          <w:rFonts w:ascii="Open Sans" w:eastAsia="Times New Roman" w:hAnsi="Open Sans" w:cs="Open Sans"/>
          <w:color w:val="000000"/>
        </w:rPr>
        <w:t xml:space="preserve"> </w:t>
      </w:r>
    </w:p>
    <w:p w14:paraId="6573FACB" w14:textId="38D8841E" w:rsidR="00E76216" w:rsidRPr="00756394" w:rsidRDefault="002A2E16" w:rsidP="007659B3">
      <w:pPr>
        <w:shd w:val="clear" w:color="auto" w:fill="FFFFFF"/>
        <w:spacing w:before="330" w:after="330" w:line="263" w:lineRule="atLeast"/>
        <w:rPr>
          <w:rFonts w:ascii="Open Sans" w:eastAsia="Times New Roman" w:hAnsi="Open Sans" w:cs="Open Sans"/>
          <w:color w:val="000000"/>
        </w:rPr>
      </w:pPr>
      <w:r w:rsidRPr="00756394">
        <w:rPr>
          <w:rFonts w:ascii="Open Sans" w:hAnsi="Open Sans" w:cs="Open Sans"/>
        </w:rPr>
        <w:t xml:space="preserve">The </w:t>
      </w:r>
      <w:r w:rsidRPr="00756394">
        <w:rPr>
          <w:rFonts w:ascii="Open Sans" w:eastAsia="Times New Roman" w:hAnsi="Open Sans" w:cs="Open Sans"/>
          <w:color w:val="000000"/>
        </w:rPr>
        <w:t>Advancing Equity in the Arts and Humanities Act</w:t>
      </w:r>
      <w:r w:rsidRPr="00756394">
        <w:rPr>
          <w:rFonts w:ascii="Open Sans" w:hAnsi="Open Sans" w:cs="Open Sans"/>
        </w:rPr>
        <w:t xml:space="preserve"> would create a grant program through the National Endowment for the Arts (NEA) and the National Endowment for the Humanities (NEH) for nonprofit and public entities, including faith-based and community organizations, that serve and are led by people of color. The program aims to support arts and humanities projects that work to dismantle systemic racism through the arts and humanities.  </w:t>
      </w:r>
    </w:p>
    <w:p w14:paraId="000B7DF2" w14:textId="6912E361" w:rsidR="007659B3" w:rsidRPr="00756394" w:rsidRDefault="000D43BD" w:rsidP="007659B3">
      <w:pPr>
        <w:shd w:val="clear" w:color="auto" w:fill="FFFFFF"/>
        <w:spacing w:before="330" w:after="330" w:line="263" w:lineRule="atLeast"/>
        <w:rPr>
          <w:rFonts w:ascii="Open Sans" w:eastAsia="Times New Roman" w:hAnsi="Open Sans" w:cs="Open Sans"/>
          <w:b/>
          <w:bCs/>
          <w:color w:val="292522"/>
        </w:rPr>
      </w:pPr>
      <w:r w:rsidRPr="00756394">
        <w:rPr>
          <w:rFonts w:ascii="Open Sans" w:eastAsia="Times New Roman" w:hAnsi="Open Sans" w:cs="Open Sans"/>
          <w:b/>
          <w:bCs/>
          <w:color w:val="292522"/>
        </w:rPr>
        <w:t>Background:</w:t>
      </w:r>
    </w:p>
    <w:p w14:paraId="089A917A" w14:textId="081E4372" w:rsidR="004900C9" w:rsidRPr="00756394" w:rsidRDefault="00E85523" w:rsidP="004B0880">
      <w:pPr>
        <w:pStyle w:val="NormalWeb"/>
        <w:shd w:val="clear" w:color="auto" w:fill="FFFFFF"/>
        <w:spacing w:before="280" w:beforeAutospacing="0" w:after="0" w:afterAutospacing="0"/>
        <w:textAlignment w:val="baseline"/>
        <w:rPr>
          <w:rFonts w:ascii="Open Sans" w:hAnsi="Open Sans" w:cs="Open Sans"/>
          <w:color w:val="000000"/>
          <w:sz w:val="22"/>
          <w:szCs w:val="22"/>
        </w:rPr>
      </w:pPr>
      <w:r w:rsidRPr="00756394">
        <w:rPr>
          <w:rFonts w:ascii="Open Sans" w:hAnsi="Open Sans" w:cs="Open Sans"/>
          <w:color w:val="000000"/>
          <w:sz w:val="22"/>
          <w:szCs w:val="22"/>
        </w:rPr>
        <w:t>Everyone should have access to the arts. The truth is, however, that many traditionally unders</w:t>
      </w:r>
      <w:r w:rsidR="004900C9" w:rsidRPr="00756394">
        <w:rPr>
          <w:rFonts w:ascii="Open Sans" w:hAnsi="Open Sans" w:cs="Open Sans"/>
          <w:color w:val="000000"/>
          <w:sz w:val="22"/>
          <w:szCs w:val="22"/>
        </w:rPr>
        <w:t>erved populations have inequitable access to the arts in their communities. These inequities have consequences.</w:t>
      </w:r>
    </w:p>
    <w:p w14:paraId="2E930EB6" w14:textId="09D5C284" w:rsidR="004B0880" w:rsidRPr="00756394" w:rsidRDefault="004B0880" w:rsidP="004B0880">
      <w:pPr>
        <w:pStyle w:val="NormalWeb"/>
        <w:shd w:val="clear" w:color="auto" w:fill="FFFFFF"/>
        <w:spacing w:before="280" w:beforeAutospacing="0" w:after="0" w:afterAutospacing="0"/>
        <w:textAlignment w:val="baseline"/>
        <w:rPr>
          <w:rFonts w:ascii="Open Sans" w:hAnsi="Open Sans" w:cs="Open Sans"/>
          <w:color w:val="000000"/>
          <w:sz w:val="22"/>
          <w:szCs w:val="22"/>
        </w:rPr>
      </w:pPr>
      <w:r w:rsidRPr="00756394">
        <w:rPr>
          <w:rFonts w:ascii="Open Sans" w:hAnsi="Open Sans" w:cs="Open Sans"/>
          <w:color w:val="000000"/>
          <w:sz w:val="22"/>
          <w:szCs w:val="22"/>
        </w:rPr>
        <w:t>A popular</w:t>
      </w:r>
      <w:r w:rsidR="000D43BD" w:rsidRPr="00756394">
        <w:rPr>
          <w:rFonts w:ascii="Open Sans" w:hAnsi="Open Sans" w:cs="Open Sans"/>
          <w:color w:val="000000"/>
          <w:sz w:val="22"/>
          <w:szCs w:val="22"/>
        </w:rPr>
        <w:t xml:space="preserve"> narrative is that the arts</w:t>
      </w:r>
      <w:r w:rsidR="004900C9" w:rsidRPr="00756394">
        <w:rPr>
          <w:rFonts w:ascii="Open Sans" w:hAnsi="Open Sans" w:cs="Open Sans"/>
          <w:color w:val="000000"/>
          <w:sz w:val="22"/>
          <w:szCs w:val="22"/>
        </w:rPr>
        <w:t xml:space="preserve"> </w:t>
      </w:r>
      <w:r w:rsidRPr="00756394">
        <w:rPr>
          <w:rFonts w:ascii="Open Sans" w:hAnsi="Open Sans" w:cs="Open Sans"/>
          <w:color w:val="000000"/>
          <w:sz w:val="22"/>
          <w:szCs w:val="22"/>
        </w:rPr>
        <w:t xml:space="preserve">simply </w:t>
      </w:r>
      <w:r w:rsidR="004900C9" w:rsidRPr="00756394">
        <w:rPr>
          <w:rFonts w:ascii="Open Sans" w:hAnsi="Open Sans" w:cs="Open Sans"/>
          <w:color w:val="000000"/>
          <w:sz w:val="22"/>
          <w:szCs w:val="22"/>
        </w:rPr>
        <w:t xml:space="preserve">create </w:t>
      </w:r>
      <w:r w:rsidRPr="00756394">
        <w:rPr>
          <w:rFonts w:ascii="Open Sans" w:hAnsi="Open Sans" w:cs="Open Sans"/>
          <w:color w:val="000000"/>
          <w:sz w:val="22"/>
          <w:szCs w:val="22"/>
        </w:rPr>
        <w:t>entertainment</w:t>
      </w:r>
      <w:r w:rsidR="004900C9" w:rsidRPr="00756394">
        <w:rPr>
          <w:rFonts w:ascii="Open Sans" w:hAnsi="Open Sans" w:cs="Open Sans"/>
          <w:color w:val="000000"/>
          <w:sz w:val="22"/>
          <w:szCs w:val="22"/>
        </w:rPr>
        <w:t xml:space="preserve"> value</w:t>
      </w:r>
      <w:r w:rsidR="000D43BD" w:rsidRPr="00756394">
        <w:rPr>
          <w:rFonts w:ascii="Open Sans" w:hAnsi="Open Sans" w:cs="Open Sans"/>
          <w:color w:val="000000"/>
          <w:sz w:val="22"/>
          <w:szCs w:val="22"/>
        </w:rPr>
        <w:t>, but a deeper look shows the profound effect access to the arts has on those most impacted by the justice system, children, veterans, low-income communities, and self-designated non-artists.  </w:t>
      </w:r>
      <w:r w:rsidRPr="00756394">
        <w:rPr>
          <w:rFonts w:ascii="Open Sans" w:hAnsi="Open Sans" w:cs="Open Sans"/>
          <w:color w:val="000000"/>
          <w:sz w:val="22"/>
          <w:szCs w:val="22"/>
        </w:rPr>
        <w:t>Concentrated cultural districts are associated with reduced poverty without neighborhood displacement, improved child welfare, and lower morbidity.</w:t>
      </w:r>
    </w:p>
    <w:p w14:paraId="2585E979" w14:textId="33B8BEC1" w:rsidR="0041123C" w:rsidRPr="00756394" w:rsidRDefault="0041123C" w:rsidP="0041123C">
      <w:pPr>
        <w:pStyle w:val="NormalWeb"/>
        <w:shd w:val="clear" w:color="auto" w:fill="FFFFFF"/>
        <w:spacing w:before="0" w:beforeAutospacing="0" w:after="0" w:afterAutospacing="0"/>
        <w:textAlignment w:val="baseline"/>
        <w:rPr>
          <w:rFonts w:ascii="Open Sans" w:hAnsi="Open Sans" w:cs="Open Sans"/>
          <w:color w:val="000000"/>
          <w:sz w:val="22"/>
          <w:szCs w:val="22"/>
        </w:rPr>
      </w:pPr>
    </w:p>
    <w:p w14:paraId="67B896DD" w14:textId="4A7AF98F" w:rsidR="0041123C" w:rsidRPr="00756394" w:rsidRDefault="0041123C" w:rsidP="0041123C">
      <w:pPr>
        <w:pStyle w:val="xmsonormal"/>
        <w:shd w:val="clear" w:color="auto" w:fill="FFFFFF"/>
        <w:spacing w:before="0" w:beforeAutospacing="0"/>
        <w:rPr>
          <w:rFonts w:ascii="Open Sans" w:hAnsi="Open Sans" w:cs="Open Sans"/>
          <w:sz w:val="22"/>
          <w:szCs w:val="22"/>
        </w:rPr>
      </w:pPr>
      <w:r w:rsidRPr="00756394">
        <w:rPr>
          <w:rFonts w:ascii="Open Sans" w:hAnsi="Open Sans" w:cs="Open Sans"/>
          <w:sz w:val="22"/>
          <w:szCs w:val="22"/>
        </w:rPr>
        <w:t>Low-income students who engage in art activities have a dropout rate of 4 percent—five times lower than their peers.</w:t>
      </w:r>
      <w:r w:rsidR="009B161A">
        <w:rPr>
          <w:rFonts w:ascii="Open Sans" w:hAnsi="Open Sans" w:cs="Open Sans"/>
          <w:sz w:val="22"/>
          <w:szCs w:val="22"/>
        </w:rPr>
        <w:t xml:space="preserve"> </w:t>
      </w:r>
      <w:r w:rsidRPr="00756394">
        <w:rPr>
          <w:rFonts w:ascii="Open Sans" w:hAnsi="Open Sans" w:cs="Open Sans"/>
          <w:sz w:val="22"/>
          <w:szCs w:val="22"/>
        </w:rPr>
        <w:t xml:space="preserve">Children with access to arts programming in schools showed marked improvement in math and reading proficiency while reducing their time in school suspensions. </w:t>
      </w:r>
      <w:r w:rsidR="008656BF">
        <w:rPr>
          <w:rFonts w:ascii="Open Sans" w:hAnsi="Open Sans" w:cs="Open Sans"/>
          <w:sz w:val="22"/>
          <w:szCs w:val="22"/>
        </w:rPr>
        <w:t xml:space="preserve">Over 70 percent </w:t>
      </w:r>
      <w:r w:rsidRPr="00756394">
        <w:rPr>
          <w:rFonts w:ascii="Open Sans" w:hAnsi="Open Sans" w:cs="Open Sans"/>
          <w:sz w:val="22"/>
          <w:szCs w:val="22"/>
        </w:rPr>
        <w:t>of at-risk students with high arts involvement attend college, w</w:t>
      </w:r>
      <w:r w:rsidR="00E85523" w:rsidRPr="00756394">
        <w:rPr>
          <w:rFonts w:ascii="Open Sans" w:hAnsi="Open Sans" w:cs="Open Sans"/>
          <w:sz w:val="22"/>
          <w:szCs w:val="22"/>
        </w:rPr>
        <w:t xml:space="preserve">hile less than half of at-risk students with low arts involvement attend college. </w:t>
      </w:r>
      <w:r w:rsidRPr="00756394">
        <w:rPr>
          <w:rFonts w:ascii="Open Sans" w:hAnsi="Open Sans" w:cs="Open Sans"/>
          <w:sz w:val="22"/>
          <w:szCs w:val="22"/>
        </w:rPr>
        <w:t xml:space="preserve"> </w:t>
      </w:r>
    </w:p>
    <w:p w14:paraId="44109B7D" w14:textId="60BE51D6" w:rsidR="004900C9" w:rsidRPr="00756394" w:rsidRDefault="004900C9" w:rsidP="004900C9">
      <w:pPr>
        <w:pStyle w:val="NormalWeb"/>
        <w:shd w:val="clear" w:color="auto" w:fill="FFFFFF"/>
        <w:spacing w:before="0" w:beforeAutospacing="0" w:after="0" w:afterAutospacing="0"/>
        <w:ind w:right="460"/>
        <w:rPr>
          <w:rFonts w:ascii="Open Sans" w:hAnsi="Open Sans" w:cs="Open Sans"/>
          <w:sz w:val="22"/>
          <w:szCs w:val="22"/>
        </w:rPr>
      </w:pPr>
      <w:r w:rsidRPr="00756394">
        <w:rPr>
          <w:rFonts w:ascii="Open Sans" w:hAnsi="Open Sans" w:cs="Open Sans"/>
          <w:color w:val="000000"/>
          <w:sz w:val="22"/>
          <w:szCs w:val="22"/>
        </w:rPr>
        <w:t>Arts organizations serving communities of color are, in general, much less financially secure, and far smaller than their counterparts in White communities. The median budgets of the 20 largest arts organizations serving communities of color in each discipline, such as dance, theater, or music,</w:t>
      </w:r>
      <w:r w:rsidRPr="00756394">
        <w:rPr>
          <w:rFonts w:ascii="Open Sans" w:hAnsi="Open Sans" w:cs="Open Sans"/>
          <w:color w:val="333333"/>
          <w:sz w:val="22"/>
          <w:szCs w:val="22"/>
        </w:rPr>
        <w:t xml:space="preserve"> were </w:t>
      </w:r>
      <w:r w:rsidRPr="00756394">
        <w:rPr>
          <w:rFonts w:ascii="Open Sans" w:hAnsi="Open Sans" w:cs="Open Sans"/>
          <w:color w:val="000000"/>
          <w:sz w:val="22"/>
          <w:szCs w:val="22"/>
        </w:rPr>
        <w:t>more than 90 percent smaller than the budgets of the largest organizations in that discipline.</w:t>
      </w:r>
      <w:r w:rsidRPr="00756394">
        <w:rPr>
          <w:rFonts w:ascii="Open Sans" w:hAnsi="Open Sans" w:cs="Open Sans"/>
          <w:sz w:val="22"/>
          <w:szCs w:val="22"/>
        </w:rPr>
        <w:t xml:space="preserve"> </w:t>
      </w:r>
    </w:p>
    <w:p w14:paraId="00567343" w14:textId="77777777" w:rsidR="004900C9" w:rsidRPr="00756394" w:rsidRDefault="004900C9" w:rsidP="004900C9">
      <w:pPr>
        <w:pStyle w:val="NormalWeb"/>
        <w:shd w:val="clear" w:color="auto" w:fill="FFFFFF"/>
        <w:spacing w:before="0" w:beforeAutospacing="0" w:after="0" w:afterAutospacing="0"/>
        <w:ind w:right="460"/>
        <w:rPr>
          <w:rFonts w:ascii="Open Sans" w:hAnsi="Open Sans" w:cs="Open Sans"/>
          <w:color w:val="000000"/>
          <w:sz w:val="22"/>
          <w:szCs w:val="22"/>
        </w:rPr>
      </w:pPr>
    </w:p>
    <w:p w14:paraId="2A2DDF06" w14:textId="58BDB9F7" w:rsidR="00E85523" w:rsidRPr="00756394" w:rsidRDefault="005670BE" w:rsidP="00E85523">
      <w:pPr>
        <w:pStyle w:val="NormalWeb"/>
        <w:shd w:val="clear" w:color="auto" w:fill="FFFFFF"/>
        <w:spacing w:before="0" w:beforeAutospacing="0" w:after="0" w:afterAutospacing="0"/>
        <w:ind w:right="460"/>
        <w:rPr>
          <w:rFonts w:ascii="Open Sans" w:hAnsi="Open Sans" w:cs="Open Sans"/>
          <w:color w:val="000000"/>
          <w:sz w:val="22"/>
          <w:szCs w:val="22"/>
        </w:rPr>
      </w:pPr>
      <w:r w:rsidRPr="00756394">
        <w:rPr>
          <w:rFonts w:ascii="Open Sans" w:hAnsi="Open Sans" w:cs="Open Sans"/>
          <w:color w:val="000000"/>
          <w:sz w:val="22"/>
          <w:szCs w:val="22"/>
        </w:rPr>
        <w:t xml:space="preserve">. Limited arts access is linked to economic and racial inequities as well as resource deprivation. </w:t>
      </w:r>
      <w:r w:rsidR="00E85523" w:rsidRPr="00756394">
        <w:rPr>
          <w:rFonts w:ascii="Open Sans" w:hAnsi="Open Sans" w:cs="Open Sans"/>
          <w:color w:val="000000"/>
          <w:sz w:val="22"/>
          <w:szCs w:val="22"/>
        </w:rPr>
        <w:t>The National Endowment for the Arts is the only arts funder in the United States, public or private, that provides access to the arts in all 50 States, the District of Columbia, and territories of the United States.</w:t>
      </w:r>
      <w:r>
        <w:rPr>
          <w:rFonts w:ascii="Open Sans" w:hAnsi="Open Sans" w:cs="Open Sans"/>
          <w:color w:val="000000"/>
          <w:sz w:val="22"/>
          <w:szCs w:val="22"/>
        </w:rPr>
        <w:t xml:space="preserve"> </w:t>
      </w:r>
      <w:r w:rsidR="004900C9" w:rsidRPr="00756394">
        <w:rPr>
          <w:rFonts w:ascii="Open Sans" w:hAnsi="Open Sans" w:cs="Open Sans"/>
          <w:color w:val="000000"/>
          <w:sz w:val="22"/>
          <w:szCs w:val="22"/>
        </w:rPr>
        <w:t>They can play a unifying role in creating equitable access to the arts.</w:t>
      </w:r>
    </w:p>
    <w:p w14:paraId="3CD1B322" w14:textId="77777777" w:rsidR="00E85523" w:rsidRPr="00756394" w:rsidRDefault="00E85523" w:rsidP="00E85523">
      <w:pPr>
        <w:pStyle w:val="NormalWeb"/>
        <w:shd w:val="clear" w:color="auto" w:fill="FFFFFF"/>
        <w:spacing w:before="0" w:beforeAutospacing="0" w:after="0" w:afterAutospacing="0"/>
        <w:ind w:right="460"/>
        <w:rPr>
          <w:rFonts w:ascii="Open Sans" w:hAnsi="Open Sans" w:cs="Open Sans"/>
          <w:color w:val="000000"/>
          <w:sz w:val="22"/>
          <w:szCs w:val="22"/>
        </w:rPr>
      </w:pPr>
    </w:p>
    <w:p w14:paraId="3FF356E2" w14:textId="5894FB66" w:rsidR="00756394" w:rsidRPr="00756394" w:rsidRDefault="000D43BD" w:rsidP="00756394">
      <w:pPr>
        <w:pStyle w:val="xmsonormal"/>
        <w:shd w:val="clear" w:color="auto" w:fill="FFFFFF"/>
        <w:spacing w:before="0" w:beforeAutospacing="0"/>
        <w:rPr>
          <w:rFonts w:ascii="Open Sans" w:hAnsi="Open Sans" w:cs="Open Sans"/>
          <w:color w:val="000000"/>
          <w:sz w:val="22"/>
          <w:szCs w:val="22"/>
        </w:rPr>
      </w:pPr>
      <w:r w:rsidRPr="00756394">
        <w:rPr>
          <w:rFonts w:ascii="Open Sans" w:hAnsi="Open Sans" w:cs="Open Sans"/>
          <w:color w:val="000000"/>
          <w:sz w:val="22"/>
          <w:szCs w:val="22"/>
        </w:rPr>
        <w:t>Last year’s version of th</w:t>
      </w:r>
      <w:r w:rsidR="004900C9" w:rsidRPr="00756394">
        <w:rPr>
          <w:rFonts w:ascii="Open Sans" w:hAnsi="Open Sans" w:cs="Open Sans"/>
          <w:color w:val="000000"/>
          <w:sz w:val="22"/>
          <w:szCs w:val="22"/>
        </w:rPr>
        <w:t xml:space="preserve">e </w:t>
      </w:r>
      <w:r w:rsidR="004900C9" w:rsidRPr="00756394">
        <w:rPr>
          <w:rFonts w:ascii="Open Sans" w:hAnsi="Open Sans" w:cs="Open Sans"/>
          <w:i/>
          <w:iCs/>
          <w:color w:val="000000"/>
          <w:sz w:val="22"/>
          <w:szCs w:val="22"/>
        </w:rPr>
        <w:t xml:space="preserve">Advancing Equity </w:t>
      </w:r>
      <w:r w:rsidR="00B84884" w:rsidRPr="00756394">
        <w:rPr>
          <w:rFonts w:ascii="Open Sans" w:hAnsi="Open Sans" w:cs="Open Sans"/>
          <w:i/>
          <w:iCs/>
          <w:color w:val="000000"/>
          <w:sz w:val="22"/>
          <w:szCs w:val="22"/>
        </w:rPr>
        <w:t>T</w:t>
      </w:r>
      <w:r w:rsidR="004900C9" w:rsidRPr="00756394">
        <w:rPr>
          <w:rFonts w:ascii="Open Sans" w:hAnsi="Open Sans" w:cs="Open Sans"/>
          <w:i/>
          <w:iCs/>
          <w:color w:val="000000"/>
          <w:sz w:val="22"/>
          <w:szCs w:val="22"/>
        </w:rPr>
        <w:t>hrough the Arts and Humanities Act</w:t>
      </w:r>
      <w:r w:rsidR="004900C9" w:rsidRPr="00756394">
        <w:rPr>
          <w:rFonts w:ascii="Open Sans" w:hAnsi="Open Sans" w:cs="Open Sans"/>
          <w:color w:val="000000"/>
          <w:sz w:val="22"/>
          <w:szCs w:val="22"/>
        </w:rPr>
        <w:t xml:space="preserve"> </w:t>
      </w:r>
      <w:r w:rsidRPr="00756394">
        <w:rPr>
          <w:rFonts w:ascii="Open Sans" w:hAnsi="Open Sans" w:cs="Open Sans"/>
          <w:color w:val="000000"/>
          <w:sz w:val="22"/>
          <w:szCs w:val="22"/>
        </w:rPr>
        <w:t xml:space="preserve">was largely responsible for the inclusion of instructions in the FY2023 appropriations package that </w:t>
      </w:r>
      <w:r w:rsidR="00B84884" w:rsidRPr="00756394">
        <w:rPr>
          <w:rFonts w:ascii="Open Sans" w:hAnsi="Open Sans" w:cs="Open Sans"/>
          <w:color w:val="000000"/>
          <w:sz w:val="22"/>
          <w:szCs w:val="22"/>
        </w:rPr>
        <w:t>recommends the NEA focus on</w:t>
      </w:r>
      <w:r w:rsidRPr="00756394">
        <w:rPr>
          <w:rFonts w:ascii="Open Sans" w:hAnsi="Open Sans" w:cs="Open Sans"/>
          <w:color w:val="000000"/>
          <w:sz w:val="22"/>
          <w:szCs w:val="22"/>
        </w:rPr>
        <w:t xml:space="preserve"> equity in the NEA grantmaking proces</w:t>
      </w:r>
      <w:r w:rsidR="00B84884" w:rsidRPr="00756394">
        <w:rPr>
          <w:rFonts w:ascii="Open Sans" w:hAnsi="Open Sans" w:cs="Open Sans"/>
          <w:color w:val="000000"/>
          <w:sz w:val="22"/>
          <w:szCs w:val="22"/>
        </w:rPr>
        <w:t xml:space="preserve">s. </w:t>
      </w:r>
      <w:r w:rsidRPr="00756394">
        <w:rPr>
          <w:rFonts w:ascii="Open Sans" w:hAnsi="Open Sans" w:cs="Open Sans"/>
          <w:color w:val="000000"/>
          <w:sz w:val="22"/>
          <w:szCs w:val="22"/>
        </w:rPr>
        <w:t xml:space="preserve">This coincides with recent efforts by both </w:t>
      </w:r>
      <w:r w:rsidR="00756394" w:rsidRPr="00756394">
        <w:rPr>
          <w:rFonts w:ascii="Open Sans" w:hAnsi="Open Sans" w:cs="Open Sans"/>
          <w:color w:val="000000"/>
          <w:sz w:val="22"/>
          <w:szCs w:val="22"/>
        </w:rPr>
        <w:t>the</w:t>
      </w:r>
      <w:r w:rsidRPr="00756394">
        <w:rPr>
          <w:rFonts w:ascii="Open Sans" w:hAnsi="Open Sans" w:cs="Open Sans"/>
          <w:color w:val="000000"/>
          <w:sz w:val="22"/>
          <w:szCs w:val="22"/>
        </w:rPr>
        <w:t xml:space="preserve"> </w:t>
      </w:r>
      <w:hyperlink r:id="rId7" w:history="1">
        <w:r w:rsidRPr="00756394">
          <w:rPr>
            <w:rStyle w:val="Hyperlink"/>
            <w:rFonts w:ascii="Open Sans" w:hAnsi="Open Sans" w:cs="Open Sans"/>
            <w:sz w:val="22"/>
            <w:szCs w:val="22"/>
          </w:rPr>
          <w:t>NEA</w:t>
        </w:r>
      </w:hyperlink>
      <w:r w:rsidRPr="00756394">
        <w:rPr>
          <w:rFonts w:ascii="Open Sans" w:hAnsi="Open Sans" w:cs="Open Sans"/>
          <w:color w:val="000000"/>
          <w:sz w:val="22"/>
          <w:szCs w:val="22"/>
        </w:rPr>
        <w:t xml:space="preserve"> and </w:t>
      </w:r>
      <w:hyperlink r:id="rId8" w:history="1">
        <w:r w:rsidRPr="00756394">
          <w:rPr>
            <w:rStyle w:val="Hyperlink"/>
            <w:rFonts w:ascii="Open Sans" w:hAnsi="Open Sans" w:cs="Open Sans"/>
            <w:sz w:val="22"/>
            <w:szCs w:val="22"/>
          </w:rPr>
          <w:t>NEH</w:t>
        </w:r>
      </w:hyperlink>
      <w:r w:rsidRPr="00756394">
        <w:rPr>
          <w:rFonts w:ascii="Open Sans" w:hAnsi="Open Sans" w:cs="Open Sans"/>
          <w:color w:val="000000"/>
          <w:sz w:val="22"/>
          <w:szCs w:val="22"/>
        </w:rPr>
        <w:t xml:space="preserve"> to address equity both internally within their respective agencies as well as </w:t>
      </w:r>
      <w:r w:rsidR="00756394">
        <w:rPr>
          <w:rFonts w:ascii="Open Sans" w:hAnsi="Open Sans" w:cs="Open Sans"/>
          <w:color w:val="000000"/>
          <w:sz w:val="22"/>
          <w:szCs w:val="22"/>
        </w:rPr>
        <w:t xml:space="preserve">supporting efforts in the arts community. </w:t>
      </w:r>
    </w:p>
    <w:p w14:paraId="4F64DFA1" w14:textId="77777777" w:rsidR="00756394" w:rsidRDefault="00756394" w:rsidP="00756394">
      <w:pPr>
        <w:pStyle w:val="xmsonormal"/>
        <w:shd w:val="clear" w:color="auto" w:fill="FFFFFF"/>
        <w:spacing w:before="0" w:beforeAutospacing="0"/>
        <w:rPr>
          <w:rFonts w:asciiTheme="minorHAnsi" w:hAnsiTheme="minorHAnsi" w:cstheme="minorHAnsi"/>
          <w:i/>
          <w:iCs/>
          <w:color w:val="000000"/>
          <w:sz w:val="22"/>
          <w:szCs w:val="22"/>
        </w:rPr>
      </w:pPr>
    </w:p>
    <w:p w14:paraId="2B7FD653" w14:textId="6FBD61FB" w:rsidR="00F0011B" w:rsidRPr="002152DB" w:rsidRDefault="00756394" w:rsidP="00756394">
      <w:pPr>
        <w:pStyle w:val="xmsonormal"/>
        <w:shd w:val="clear" w:color="auto" w:fill="FFFFFF"/>
        <w:spacing w:before="0" w:beforeAutospacing="0"/>
        <w:rPr>
          <w:rFonts w:ascii="Open Sans" w:hAnsi="Open Sans" w:cs="Open Sans"/>
          <w:i/>
          <w:iCs/>
          <w:sz w:val="22"/>
          <w:szCs w:val="22"/>
        </w:rPr>
      </w:pPr>
      <w:r w:rsidRPr="002152DB">
        <w:rPr>
          <w:rFonts w:ascii="Open Sans" w:hAnsi="Open Sans" w:cs="Open Sans"/>
          <w:i/>
          <w:iCs/>
          <w:color w:val="000000"/>
          <w:sz w:val="22"/>
          <w:szCs w:val="22"/>
        </w:rPr>
        <w:t xml:space="preserve">To cosponsor the Advancing Equity Through the Arts and Humanities Act, please contact </w:t>
      </w:r>
      <w:r w:rsidR="007659B3" w:rsidRPr="002152DB">
        <w:rPr>
          <w:rFonts w:ascii="Open Sans" w:hAnsi="Open Sans" w:cs="Open Sans"/>
          <w:i/>
          <w:iCs/>
          <w:color w:val="000000"/>
          <w:sz w:val="22"/>
          <w:szCs w:val="22"/>
        </w:rPr>
        <w:t xml:space="preserve">Erika Ninoyu, Senior Legislative Assistant, Office of Congresswoman Barbara Lee at Erika.ninoyu@mail.house.gov. </w:t>
      </w:r>
    </w:p>
    <w:p w14:paraId="49419D97" w14:textId="77777777" w:rsidR="00F0011B" w:rsidRDefault="00F0011B" w:rsidP="00F0011B">
      <w:pPr>
        <w:shd w:val="clear" w:color="auto" w:fill="FFFFFF"/>
        <w:spacing w:after="0" w:line="240" w:lineRule="auto"/>
        <w:rPr>
          <w:rFonts w:ascii="Open Sans" w:eastAsia="Times New Roman" w:hAnsi="Open Sans" w:cs="Open Sans"/>
          <w:color w:val="000000"/>
        </w:rPr>
      </w:pPr>
    </w:p>
    <w:p w14:paraId="63BB4DCB" w14:textId="4B4BB959" w:rsidR="00F0011B" w:rsidRPr="007659B3" w:rsidRDefault="00F0011B">
      <w:pPr>
        <w:rPr>
          <w:rFonts w:ascii="Open Sans" w:eastAsia="Times New Roman" w:hAnsi="Open Sans" w:cs="Open Sans"/>
          <w:color w:val="000000"/>
          <w:sz w:val="21"/>
          <w:szCs w:val="21"/>
        </w:rPr>
      </w:pPr>
    </w:p>
    <w:sectPr w:rsidR="00F0011B" w:rsidRPr="0076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27E"/>
    <w:multiLevelType w:val="multilevel"/>
    <w:tmpl w:val="74C0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6D24"/>
    <w:multiLevelType w:val="hybridMultilevel"/>
    <w:tmpl w:val="6E4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397E"/>
    <w:multiLevelType w:val="multilevel"/>
    <w:tmpl w:val="BAB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74079"/>
    <w:multiLevelType w:val="multilevel"/>
    <w:tmpl w:val="3EBC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F1755"/>
    <w:multiLevelType w:val="multilevel"/>
    <w:tmpl w:val="810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416722">
    <w:abstractNumId w:val="4"/>
  </w:num>
  <w:num w:numId="2" w16cid:durableId="1521896312">
    <w:abstractNumId w:val="2"/>
  </w:num>
  <w:num w:numId="3" w16cid:durableId="240798167">
    <w:abstractNumId w:val="1"/>
  </w:num>
  <w:num w:numId="4" w16cid:durableId="1683050644">
    <w:abstractNumId w:val="3"/>
  </w:num>
  <w:num w:numId="5" w16cid:durableId="144546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13"/>
    <w:rsid w:val="000D43BD"/>
    <w:rsid w:val="002152DB"/>
    <w:rsid w:val="002A2E16"/>
    <w:rsid w:val="002B6D5D"/>
    <w:rsid w:val="002F7713"/>
    <w:rsid w:val="0030628E"/>
    <w:rsid w:val="0041123C"/>
    <w:rsid w:val="004900C9"/>
    <w:rsid w:val="004B0880"/>
    <w:rsid w:val="004D0266"/>
    <w:rsid w:val="005670BE"/>
    <w:rsid w:val="005C0052"/>
    <w:rsid w:val="005E0E81"/>
    <w:rsid w:val="00756394"/>
    <w:rsid w:val="007659B3"/>
    <w:rsid w:val="008656BF"/>
    <w:rsid w:val="009B161A"/>
    <w:rsid w:val="00B84884"/>
    <w:rsid w:val="00DA38A7"/>
    <w:rsid w:val="00E76216"/>
    <w:rsid w:val="00E85523"/>
    <w:rsid w:val="00F0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D7D8"/>
  <w15:chartTrackingRefBased/>
  <w15:docId w15:val="{C7FF6FE1-B335-41A3-AFE3-393D7BE8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2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59B3"/>
    <w:pPr>
      <w:ind w:left="720"/>
      <w:contextualSpacing/>
    </w:pPr>
  </w:style>
  <w:style w:type="character" w:styleId="Hyperlink">
    <w:name w:val="Hyperlink"/>
    <w:basedOn w:val="DefaultParagraphFont"/>
    <w:uiPriority w:val="99"/>
    <w:unhideWhenUsed/>
    <w:rsid w:val="007659B3"/>
    <w:rPr>
      <w:color w:val="0563C1" w:themeColor="hyperlink"/>
      <w:u w:val="single"/>
    </w:rPr>
  </w:style>
  <w:style w:type="character" w:styleId="UnresolvedMention">
    <w:name w:val="Unresolved Mention"/>
    <w:basedOn w:val="DefaultParagraphFont"/>
    <w:uiPriority w:val="99"/>
    <w:semiHidden/>
    <w:unhideWhenUsed/>
    <w:rsid w:val="007659B3"/>
    <w:rPr>
      <w:color w:val="605E5C"/>
      <w:shd w:val="clear" w:color="auto" w:fill="E1DFDD"/>
    </w:rPr>
  </w:style>
  <w:style w:type="paragraph" w:customStyle="1" w:styleId="xmsonormal">
    <w:name w:val="xmsonormal"/>
    <w:basedOn w:val="Normal"/>
    <w:rsid w:val="000D4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8844">
      <w:bodyDiv w:val="1"/>
      <w:marLeft w:val="0"/>
      <w:marRight w:val="0"/>
      <w:marTop w:val="0"/>
      <w:marBottom w:val="0"/>
      <w:divBdr>
        <w:top w:val="none" w:sz="0" w:space="0" w:color="auto"/>
        <w:left w:val="none" w:sz="0" w:space="0" w:color="auto"/>
        <w:bottom w:val="none" w:sz="0" w:space="0" w:color="auto"/>
        <w:right w:val="none" w:sz="0" w:space="0" w:color="auto"/>
      </w:divBdr>
    </w:div>
    <w:div w:id="261764411">
      <w:bodyDiv w:val="1"/>
      <w:marLeft w:val="0"/>
      <w:marRight w:val="0"/>
      <w:marTop w:val="0"/>
      <w:marBottom w:val="0"/>
      <w:divBdr>
        <w:top w:val="none" w:sz="0" w:space="0" w:color="auto"/>
        <w:left w:val="none" w:sz="0" w:space="0" w:color="auto"/>
        <w:bottom w:val="none" w:sz="0" w:space="0" w:color="auto"/>
        <w:right w:val="none" w:sz="0" w:space="0" w:color="auto"/>
      </w:divBdr>
    </w:div>
    <w:div w:id="1763453418">
      <w:bodyDiv w:val="1"/>
      <w:marLeft w:val="0"/>
      <w:marRight w:val="0"/>
      <w:marTop w:val="0"/>
      <w:marBottom w:val="0"/>
      <w:divBdr>
        <w:top w:val="none" w:sz="0" w:space="0" w:color="auto"/>
        <w:left w:val="none" w:sz="0" w:space="0" w:color="auto"/>
        <w:bottom w:val="none" w:sz="0" w:space="0" w:color="auto"/>
        <w:right w:val="none" w:sz="0" w:space="0" w:color="auto"/>
      </w:divBdr>
    </w:div>
    <w:div w:id="18211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h.gov/equity" TargetMode="External"/><Relationship Id="rId3" Type="http://schemas.openxmlformats.org/officeDocument/2006/relationships/settings" Target="settings.xml"/><Relationship Id="rId7" Type="http://schemas.openxmlformats.org/officeDocument/2006/relationships/hyperlink" Target="https://www.arts.gov/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2712</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Proby</dc:creator>
  <cp:keywords/>
  <dc:description/>
  <cp:lastModifiedBy>Tooshar Swain</cp:lastModifiedBy>
  <cp:revision>2</cp:revision>
  <cp:lastPrinted>2023-05-12T20:28:00Z</cp:lastPrinted>
  <dcterms:created xsi:type="dcterms:W3CDTF">2023-05-12T22:04:00Z</dcterms:created>
  <dcterms:modified xsi:type="dcterms:W3CDTF">2023-05-12T22:04:00Z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dad69c44f2ae74671c0919047b18547b8884fda3adf435e554b740095b7d7a42</vt:lpwstr>
  </property>
</Properties>
</file>