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72FCBCF0"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2D1F65">
        <w:rPr>
          <w:rFonts w:ascii="Myriad Pro" w:hAnsi="Myriad Pro" w:cs="Tahoma"/>
          <w:b/>
          <w:bCs/>
          <w:color w:val="auto"/>
          <w:sz w:val="36"/>
          <w:szCs w:val="36"/>
          <w:u w:val="single"/>
        </w:rPr>
        <w:t>Texas</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4E28EF"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02D685A8" w:rsidR="0079031E" w:rsidRPr="00667E80" w:rsidRDefault="004E28EF"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2D1F65">
          <w:rPr>
            <w:rStyle w:val="Hyperlink"/>
            <w:rFonts w:ascii="Myriad Pro" w:hAnsi="Myriad Pro" w:cstheme="minorHAnsi"/>
            <w:b/>
            <w:bCs/>
            <w:sz w:val="19"/>
            <w:szCs w:val="19"/>
          </w:rPr>
          <w:t>Texas</w:t>
        </w:r>
      </w:hyperlink>
      <w:r w:rsidR="00785DDD" w:rsidRPr="00667E80">
        <w:rPr>
          <w:rFonts w:ascii="Myriad Pro" w:hAnsi="Myriad Pro" w:cstheme="minorHAnsi"/>
          <w:b/>
          <w:bCs/>
          <w:color w:val="000000" w:themeColor="text1"/>
          <w:sz w:val="19"/>
          <w:szCs w:val="19"/>
        </w:rPr>
        <w:t>, arts and culture is a $</w:t>
      </w:r>
      <w:r w:rsidR="002D1F65">
        <w:rPr>
          <w:rFonts w:ascii="Myriad Pro" w:hAnsi="Myriad Pro" w:cstheme="minorHAnsi"/>
          <w:b/>
          <w:bCs/>
          <w:color w:val="000000" w:themeColor="text1"/>
          <w:sz w:val="19"/>
          <w:szCs w:val="19"/>
        </w:rPr>
        <w:t>56</w:t>
      </w:r>
      <w:r w:rsidR="0004257B">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7</w:t>
      </w:r>
      <w:r w:rsidR="00785DDD" w:rsidRPr="00667E80">
        <w:rPr>
          <w:rFonts w:ascii="Myriad Pro" w:hAnsi="Myriad Pro" w:cstheme="minorHAnsi"/>
          <w:b/>
          <w:bCs/>
          <w:color w:val="000000" w:themeColor="text1"/>
          <w:sz w:val="19"/>
          <w:szCs w:val="19"/>
        </w:rPr>
        <w:t xml:space="preserve"> billion industry—</w:t>
      </w:r>
      <w:r w:rsidR="002D1F65">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8</w:t>
      </w:r>
      <w:r w:rsidR="00785DDD" w:rsidRPr="00667E80">
        <w:rPr>
          <w:rFonts w:ascii="Myriad Pro" w:hAnsi="Myriad Pro" w:cstheme="minorHAnsi"/>
          <w:b/>
          <w:bCs/>
          <w:color w:val="000000" w:themeColor="text1"/>
          <w:sz w:val="19"/>
          <w:szCs w:val="19"/>
        </w:rPr>
        <w:t xml:space="preserve">% of the state economy—and supports </w:t>
      </w:r>
      <w:r w:rsidR="002D1F65">
        <w:rPr>
          <w:rFonts w:ascii="Myriad Pro" w:hAnsi="Myriad Pro" w:cstheme="minorHAnsi"/>
          <w:b/>
          <w:bCs/>
          <w:color w:val="000000" w:themeColor="text1"/>
          <w:sz w:val="19"/>
          <w:szCs w:val="19"/>
        </w:rPr>
        <w:t>369</w:t>
      </w:r>
      <w:r w:rsidR="00785DDD" w:rsidRPr="00667E80">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79</w:t>
      </w:r>
      <w:r w:rsidR="0004257B">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s (bigger than utilities, education,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4E28EF"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4E28EF"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266" w14:textId="77777777" w:rsidR="00EF484D" w:rsidRDefault="00EF484D">
      <w:r>
        <w:separator/>
      </w:r>
    </w:p>
  </w:endnote>
  <w:endnote w:type="continuationSeparator" w:id="0">
    <w:p w14:paraId="7F8CC6CE" w14:textId="77777777" w:rsidR="00EF484D" w:rsidRDefault="00E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B4DFA9F">
              <wp:simplePos x="0" y="0"/>
              <wp:positionH relativeFrom="margin">
                <wp:posOffset>1828800</wp:posOffset>
              </wp:positionH>
              <wp:positionV relativeFrom="paragraph">
                <wp:posOffset>6762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5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C11" w14:textId="77777777" w:rsidR="00EF484D" w:rsidRDefault="00EF484D">
      <w:r>
        <w:separator/>
      </w:r>
    </w:p>
  </w:footnote>
  <w:footnote w:type="continuationSeparator" w:id="0">
    <w:p w14:paraId="1EA0055F" w14:textId="77777777" w:rsidR="00EF484D" w:rsidRDefault="00EF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2E5EF398">
          <wp:simplePos x="0" y="0"/>
          <wp:positionH relativeFrom="column">
            <wp:posOffset>-263294</wp:posOffset>
          </wp:positionH>
          <wp:positionV relativeFrom="paragraph">
            <wp:posOffset>-1163</wp:posOffset>
          </wp:positionV>
          <wp:extent cx="640234" cy="736270"/>
          <wp:effectExtent l="0" t="0" r="7620" b="6985"/>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40234" cy="736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28EF"/>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EF484D"/>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5</cp:revision>
  <cp:lastPrinted>2018-02-06T20:37:00Z</cp:lastPrinted>
  <dcterms:created xsi:type="dcterms:W3CDTF">2023-04-17T17:41:00Z</dcterms:created>
  <dcterms:modified xsi:type="dcterms:W3CDTF">2023-04-18T16:11:00Z</dcterms:modified>
</cp:coreProperties>
</file>