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DF1CAF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16"/>
          <w:szCs w:val="10"/>
          <w:u w:val="single"/>
        </w:rPr>
      </w:pPr>
      <w:bookmarkStart w:id="0" w:name="_Hlk66637463"/>
      <w:bookmarkStart w:id="1" w:name="_Hlk66637475"/>
    </w:p>
    <w:p w14:paraId="7D02E924" w14:textId="7075B6BC" w:rsidR="00C25C08" w:rsidRPr="00DF1CAF" w:rsidRDefault="00656B3F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DF1CA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DF1CA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Support the Arts</w:t>
      </w:r>
      <w:r w:rsidR="00DD4303" w:rsidRPr="00DF1CA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393F2E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Oregon</w:t>
      </w:r>
      <w:r w:rsidR="00BA597F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2023</w:t>
      </w:r>
    </w:p>
    <w:bookmarkEnd w:id="0"/>
    <w:p w14:paraId="36702AF2" w14:textId="494E3D61" w:rsidR="00774FEB" w:rsidRPr="00DF1CAF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DF1CAF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DF1CAF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DF1CAF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DF1CAF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DF1CAF" w:rsidRDefault="004B6863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r w:rsidRPr="00DF1CAF">
        <w:fldChar w:fldCharType="begin"/>
      </w:r>
      <w:r w:rsidRPr="00DF1CAF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DF1CAF">
        <w:fldChar w:fldCharType="separate"/>
      </w:r>
      <w:r w:rsidR="00952C24" w:rsidRPr="00DF1CAF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DF1CAF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DF1CAF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4E517C27" w14:textId="7918B779" w:rsidR="00FB5041" w:rsidRPr="00D74127" w:rsidRDefault="00812BE0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DF1CAF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DF1CAF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>.”</w:t>
      </w:r>
    </w:p>
    <w:p w14:paraId="31DAB3F5" w14:textId="171C8503" w:rsidR="00D74127" w:rsidRPr="00D74127" w:rsidRDefault="00D74127" w:rsidP="00D74127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theme="minorHAnsi"/>
          <w:color w:val="000000" w:themeColor="text1"/>
          <w:sz w:val="19"/>
          <w:szCs w:val="19"/>
        </w:rPr>
      </w:pPr>
      <w:hyperlink r:id="rId10">
        <w:r w:rsidRPr="00D74127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the economy</w:t>
        </w:r>
      </w:hyperlink>
      <w:r w:rsidRPr="00D74127">
        <w:rPr>
          <w:rFonts w:ascii="Myriad Pro" w:hAnsi="Myriad Pro" w:cs="Tahoma"/>
          <w:color w:val="auto"/>
          <w:sz w:val="19"/>
          <w:szCs w:val="19"/>
        </w:rPr>
        <w:t xml:space="preserve">. </w:t>
      </w:r>
      <w:bookmarkStart w:id="3" w:name="_Hlk129793280"/>
      <w:r w:rsidRPr="00D74127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</w:t>
      </w:r>
      <w:bookmarkEnd w:id="3"/>
      <w:r w:rsidRPr="00D74127">
        <w:rPr>
          <w:rFonts w:ascii="Myriad Pro" w:hAnsi="Myriad Pro" w:cs="Tahoma"/>
          <w:sz w:val="19"/>
          <w:szCs w:val="19"/>
        </w:rPr>
        <w:t xml:space="preserve">. </w:t>
      </w:r>
      <w:r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In </w:t>
      </w:r>
      <w:hyperlink r:id="rId11" w:history="1">
        <w:r w:rsidR="00393F2E">
          <w:rPr>
            <w:rStyle w:val="Hyperlink"/>
            <w:rFonts w:ascii="Myriad Pro" w:hAnsi="Myriad Pro" w:cstheme="minorHAnsi"/>
            <w:b/>
            <w:sz w:val="19"/>
            <w:szCs w:val="19"/>
          </w:rPr>
          <w:t>Oregon</w:t>
        </w:r>
      </w:hyperlink>
      <w:r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>, arts and culture is a $</w:t>
      </w:r>
      <w:r w:rsidR="00393F2E">
        <w:rPr>
          <w:rFonts w:ascii="Myriad Pro" w:hAnsi="Myriad Pro" w:cstheme="minorHAnsi"/>
          <w:b/>
          <w:color w:val="000000" w:themeColor="text1"/>
          <w:sz w:val="19"/>
          <w:szCs w:val="19"/>
        </w:rPr>
        <w:t>9.3</w:t>
      </w:r>
      <w:r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billion industry—3.</w:t>
      </w:r>
      <w:r w:rsidR="00393F2E">
        <w:rPr>
          <w:rFonts w:ascii="Myriad Pro" w:hAnsi="Myriad Pro" w:cstheme="minorHAnsi"/>
          <w:b/>
          <w:color w:val="000000" w:themeColor="text1"/>
          <w:sz w:val="19"/>
          <w:szCs w:val="19"/>
        </w:rPr>
        <w:t>4</w:t>
      </w:r>
      <w:r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% of the state economy—and supports </w:t>
      </w:r>
      <w:r w:rsidR="00393F2E">
        <w:rPr>
          <w:rFonts w:ascii="Myriad Pro" w:hAnsi="Myriad Pro" w:cstheme="minorHAnsi"/>
          <w:b/>
          <w:color w:val="000000" w:themeColor="text1"/>
          <w:sz w:val="19"/>
          <w:szCs w:val="19"/>
        </w:rPr>
        <w:t>62</w:t>
      </w:r>
      <w:r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 w:rsidR="00393F2E">
        <w:rPr>
          <w:rFonts w:ascii="Myriad Pro" w:hAnsi="Myriad Pro" w:cstheme="minorHAnsi"/>
          <w:b/>
          <w:color w:val="000000" w:themeColor="text1"/>
          <w:sz w:val="19"/>
          <w:szCs w:val="19"/>
        </w:rPr>
        <w:t>725</w:t>
      </w:r>
      <w:r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</w:t>
      </w:r>
      <w:r w:rsidRPr="00D74127">
        <w:rPr>
          <w:rFonts w:ascii="Myriad Pro" w:hAnsi="Myriad Pro" w:cstheme="minorHAnsi"/>
          <w:color w:val="000000" w:themeColor="text1"/>
          <w:sz w:val="19"/>
          <w:szCs w:val="19"/>
        </w:rPr>
        <w:t xml:space="preserve"> </w:t>
      </w:r>
      <w:r w:rsidR="00752865">
        <w:rPr>
          <w:rFonts w:ascii="Myriad Pro" w:hAnsi="Myriad Pro" w:cstheme="minorHAnsi"/>
          <w:color w:val="000000" w:themeColor="text1"/>
          <w:sz w:val="19"/>
          <w:szCs w:val="19"/>
        </w:rPr>
        <w:t xml:space="preserve">(bigger </w:t>
      </w:r>
      <w:r w:rsidR="00752865" w:rsidRPr="00D74127">
        <w:rPr>
          <w:rFonts w:ascii="Myriad Pro" w:hAnsi="Myriad Pro" w:cs="Tahoma"/>
          <w:color w:val="auto"/>
          <w:sz w:val="19"/>
          <w:szCs w:val="19"/>
        </w:rPr>
        <w:t xml:space="preserve">than powerhouse sectors such as transportation, </w:t>
      </w:r>
      <w:r w:rsidR="00393F2E">
        <w:rPr>
          <w:rFonts w:ascii="Myriad Pro" w:hAnsi="Myriad Pro" w:cs="Tahoma"/>
          <w:color w:val="auto"/>
          <w:sz w:val="19"/>
          <w:szCs w:val="19"/>
        </w:rPr>
        <w:t>utilities</w:t>
      </w:r>
      <w:r w:rsidR="00752865" w:rsidRPr="00D74127">
        <w:rPr>
          <w:rFonts w:ascii="Myriad Pro" w:hAnsi="Myriad Pro" w:cs="Tahoma"/>
          <w:color w:val="auto"/>
          <w:sz w:val="19"/>
          <w:szCs w:val="19"/>
        </w:rPr>
        <w:t>, and agriculture</w:t>
      </w:r>
      <w:r w:rsidR="00752865">
        <w:rPr>
          <w:rFonts w:ascii="Myriad Pro" w:hAnsi="Myriad Pro" w:cs="Tahoma"/>
          <w:color w:val="auto"/>
          <w:sz w:val="19"/>
          <w:szCs w:val="19"/>
        </w:rPr>
        <w:t>).</w:t>
      </w:r>
      <w:r w:rsidR="00752865" w:rsidRPr="00D74127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Pr="00D74127">
        <w:rPr>
          <w:rFonts w:ascii="Myriad Pro" w:hAnsi="Myriad Pro" w:cs="Tahoma"/>
          <w:color w:val="auto"/>
          <w:sz w:val="19"/>
          <w:szCs w:val="19"/>
        </w:rPr>
        <w:t xml:space="preserve">The arts </w:t>
      </w:r>
      <w:hyperlink r:id="rId12">
        <w:r w:rsidRPr="00D74127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Pr="00D74127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Pr="00D74127">
        <w:rPr>
          <w:rFonts w:ascii="Myriad Pro" w:hAnsi="Myriad Pro" w:cs="Tahoma"/>
          <w:color w:val="auto"/>
          <w:sz w:val="19"/>
          <w:szCs w:val="19"/>
        </w:rPr>
        <w:t xml:space="preserve">: a growth in arts employment has a positive and causal effect on overall employment. </w:t>
      </w:r>
      <w:r w:rsidRPr="00D74127">
        <w:rPr>
          <w:rFonts w:ascii="Myriad Pro" w:hAnsi="Myriad Pro" w:cstheme="minorHAnsi"/>
          <w:color w:val="000000" w:themeColor="text1"/>
          <w:sz w:val="19"/>
          <w:szCs w:val="19"/>
        </w:rPr>
        <w:t xml:space="preserve">(U.S. Bureau of Economic Analysis). </w:t>
      </w:r>
      <w:r w:rsidR="00393F2E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>Oregon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’s </w:t>
      </w:r>
      <w:r w:rsidRPr="00D74127">
        <w:rPr>
          <w:rFonts w:ascii="Myriad Pro" w:hAnsi="Myriad Pro" w:cstheme="minorHAnsi"/>
          <w:b/>
          <w:bCs/>
          <w:i/>
          <w:color w:val="000000" w:themeColor="text1"/>
          <w:sz w:val="19"/>
          <w:szCs w:val="19"/>
          <w:u w:val="single"/>
        </w:rPr>
        <w:t>nonprofit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 arts industry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alone generates $</w:t>
      </w:r>
      <w:r w:rsidR="00393F2E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68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7 </w:t>
      </w:r>
      <w:r w:rsidR="00393F2E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m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illion in economic activity annually (2017)—spending by organizations </w:t>
      </w:r>
      <w:r w:rsidRPr="00D74127">
        <w:rPr>
          <w:rFonts w:ascii="Myriad Pro" w:hAnsi="Myriad Pro" w:cstheme="minorHAnsi"/>
          <w:b/>
          <w:bCs/>
          <w:i/>
          <w:iCs/>
          <w:color w:val="000000" w:themeColor="text1"/>
          <w:sz w:val="19"/>
          <w:szCs w:val="19"/>
        </w:rPr>
        <w:t>and their audiences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—which supports </w:t>
      </w:r>
      <w:r w:rsidR="00393F2E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2,</w:t>
      </w:r>
      <w:r w:rsidR="00393F2E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299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jobs and generates $</w:t>
      </w:r>
      <w:r w:rsidR="00393F2E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53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million in local and state government revenue.</w:t>
      </w:r>
    </w:p>
    <w:p w14:paraId="2E369479" w14:textId="7505336E" w:rsidR="00D74127" w:rsidRPr="00D74127" w:rsidRDefault="00D74127" w:rsidP="00D74127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Pr="00D74127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Pr="00D74127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Pr="00D74127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 w:rsidR="00393F2E">
        <w:rPr>
          <w:rFonts w:ascii="Myriad Pro" w:hAnsi="Myriad Pro" w:cs="Tahoma"/>
          <w:b/>
          <w:bCs/>
          <w:color w:val="auto"/>
          <w:sz w:val="19"/>
          <w:szCs w:val="19"/>
        </w:rPr>
        <w:t>Oregon</w:t>
      </w:r>
      <w:r w:rsidRPr="00D74127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</w:t>
      </w:r>
      <w:r w:rsidR="00812BE0">
        <w:rPr>
          <w:rFonts w:ascii="Myriad Pro" w:hAnsi="Myriad Pro" w:cs="Tahoma"/>
          <w:b/>
          <w:bCs/>
          <w:color w:val="auto"/>
          <w:sz w:val="19"/>
          <w:szCs w:val="19"/>
        </w:rPr>
        <w:t>42</w:t>
      </w:r>
      <w:r w:rsidRPr="00D74127">
        <w:rPr>
          <w:rFonts w:ascii="Myriad Pro" w:hAnsi="Myriad Pro" w:cs="Tahoma"/>
          <w:b/>
          <w:bCs/>
          <w:color w:val="auto"/>
          <w:sz w:val="19"/>
          <w:szCs w:val="19"/>
        </w:rPr>
        <w:t>.5</w:t>
      </w:r>
      <w:r w:rsidR="00812BE0">
        <w:rPr>
          <w:rFonts w:ascii="Myriad Pro" w:hAnsi="Myriad Pro" w:cs="Tahoma"/>
          <w:b/>
          <w:bCs/>
          <w:color w:val="auto"/>
          <w:sz w:val="19"/>
          <w:szCs w:val="19"/>
        </w:rPr>
        <w:t>9</w:t>
      </w:r>
      <w:r w:rsidRPr="00D74127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</w:t>
      </w:r>
      <w:r w:rsidR="00812BE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3</w:t>
      </w:r>
      <w:r w:rsidR="001025D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 w:rsidR="00812BE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9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% of attendees live outside of the state; </w:t>
      </w:r>
      <w:r w:rsidRPr="00D74127">
        <w:rPr>
          <w:rFonts w:ascii="Myriad Pro" w:hAnsi="Myriad Pro" w:cs="Tahoma"/>
          <w:b/>
          <w:bCs/>
          <w:color w:val="auto"/>
          <w:sz w:val="19"/>
          <w:szCs w:val="19"/>
        </w:rPr>
        <w:t>they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average $</w:t>
      </w:r>
      <w:r w:rsidR="00812BE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111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 w:rsidR="00812BE0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36</w:t>
      </w:r>
      <w:r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in event-related spending. </w:t>
      </w:r>
    </w:p>
    <w:p w14:paraId="042E6097" w14:textId="04050EBD" w:rsidR="00D27220" w:rsidRPr="00DF1CAF" w:rsidRDefault="00812BE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DF1CAF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DF1CAF">
        <w:rPr>
          <w:rFonts w:ascii="Myriad Pro" w:hAnsi="Myriad Pro" w:cs="Tahoma"/>
          <w:color w:val="auto"/>
          <w:sz w:val="20"/>
          <w:szCs w:val="20"/>
        </w:rPr>
        <w:t>strata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DF1CAF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DF1CAF" w:rsidRDefault="00812BE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DF1CAF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DF1CAF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DF1CAF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DF1CAF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DF1CAF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DF1CAF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DF1CAF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saying </w:t>
      </w:r>
      <w:r w:rsidR="00867492" w:rsidRPr="00DF1CAF">
        <w:rPr>
          <w:rFonts w:ascii="Myriad Pro" w:hAnsi="Myriad Pro" w:cs="Tahoma"/>
          <w:color w:val="auto"/>
          <w:sz w:val="20"/>
          <w:szCs w:val="20"/>
        </w:rPr>
        <w:t>creativity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is of 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DF1CAF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DF1CAF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DF1CAF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DF1CAF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DF1CAF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DF1CAF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DF1CAF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DF1CAF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DF1CAF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DF1CAF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DF1CAF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DF1CAF" w:rsidRDefault="00812BE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DF1CAF">
        <w:rPr>
          <w:rFonts w:ascii="Myriad Pro" w:hAnsi="Myriad Pro" w:cs="Tahoma"/>
          <w:color w:val="auto"/>
          <w:sz w:val="19"/>
          <w:szCs w:val="19"/>
        </w:rPr>
        <w:t xml:space="preserve">University of Pennsylvania </w:t>
      </w:r>
      <w:r w:rsidR="008D2DC7" w:rsidRPr="00DF1CAF">
        <w:rPr>
          <w:rFonts w:ascii="Myriad Pro" w:hAnsi="Myriad Pro" w:cs="Tahoma"/>
          <w:color w:val="auto"/>
          <w:sz w:val="20"/>
          <w:szCs w:val="20"/>
        </w:rPr>
        <w:t>researchers</w:t>
      </w:r>
      <w:r w:rsidR="008D2DC7" w:rsidRPr="00DF1CAF">
        <w:rPr>
          <w:rFonts w:ascii="Myriad Pro" w:hAnsi="Myriad Pro" w:cs="Tahoma"/>
          <w:color w:val="auto"/>
          <w:sz w:val="19"/>
          <w:szCs w:val="19"/>
        </w:rPr>
        <w:t xml:space="preserve"> have demonstrated that a high concentration of the arts in a city leads to higher civic engagement, more social cohesion, higher child welfare, and lower poverty rates.</w:t>
      </w:r>
      <w:r w:rsidR="005666FE" w:rsidRPr="00DF1CAF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DF1CAF" w:rsidRDefault="00812BE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DF1CAF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deliver these </w:t>
      </w:r>
      <w:r w:rsidR="00E35139" w:rsidRPr="00DF1CAF">
        <w:rPr>
          <w:rFonts w:ascii="Myriad Pro" w:hAnsi="Myriad Pro" w:cs="Tahoma"/>
          <w:color w:val="auto"/>
          <w:sz w:val="20"/>
          <w:szCs w:val="20"/>
        </w:rPr>
        <w:t>programs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because of their healing benefits to patients—shorter hospital stays, better pain management, and less medication. </w:t>
      </w:r>
    </w:p>
    <w:p w14:paraId="7C372F1F" w14:textId="75B45027" w:rsidR="00D27220" w:rsidRPr="00DF1CAF" w:rsidRDefault="00812BE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DF1CAF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(out of 40) interventions and treatments. Across the military </w:t>
      </w:r>
      <w:r w:rsidR="00D279CF" w:rsidRPr="00DF1CAF">
        <w:rPr>
          <w:rFonts w:ascii="Myriad Pro" w:hAnsi="Myriad Pro" w:cs="Tahoma"/>
          <w:color w:val="auto"/>
          <w:sz w:val="20"/>
          <w:szCs w:val="20"/>
        </w:rPr>
        <w:t>continuum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>, the arts promote resilience during pre-deployment, deployment, and the re</w:t>
      </w:r>
      <w:r w:rsidR="006B75EC" w:rsidRPr="00DF1CAF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DF1CAF" w:rsidRDefault="00812BE0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DF1CAF" w:rsidSect="00C25C08">
      <w:headerReference w:type="default" r:id="rId21"/>
      <w:footerReference w:type="default" r:id="rId22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9266" w14:textId="77777777" w:rsidR="00EF484D" w:rsidRDefault="00EF484D">
      <w:r>
        <w:separator/>
      </w:r>
    </w:p>
  </w:endnote>
  <w:endnote w:type="continuationSeparator" w:id="0">
    <w:p w14:paraId="7F8CC6CE" w14:textId="77777777" w:rsidR="00EF484D" w:rsidRDefault="00EF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1B4DFA9F">
              <wp:simplePos x="0" y="0"/>
              <wp:positionH relativeFrom="margin">
                <wp:posOffset>1828800</wp:posOffset>
              </wp:positionH>
              <wp:positionV relativeFrom="paragraph">
                <wp:posOffset>6762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.5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1C11" w14:textId="77777777" w:rsidR="00EF484D" w:rsidRDefault="00EF484D">
      <w:r>
        <w:separator/>
      </w:r>
    </w:p>
  </w:footnote>
  <w:footnote w:type="continuationSeparator" w:id="0">
    <w:p w14:paraId="1EA0055F" w14:textId="77777777" w:rsidR="00EF484D" w:rsidRDefault="00EF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2E5EF398">
          <wp:simplePos x="0" y="0"/>
          <wp:positionH relativeFrom="column">
            <wp:posOffset>-263294</wp:posOffset>
          </wp:positionH>
          <wp:positionV relativeFrom="paragraph">
            <wp:posOffset>-1163</wp:posOffset>
          </wp:positionV>
          <wp:extent cx="640234" cy="736270"/>
          <wp:effectExtent l="0" t="0" r="7620" b="6985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0234" cy="7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7E72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5DAA"/>
    <w:multiLevelType w:val="hybridMultilevel"/>
    <w:tmpl w:val="40A66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  <w:num w:numId="9" w16cid:durableId="551427684">
    <w:abstractNumId w:val="3"/>
  </w:num>
  <w:num w:numId="10" w16cid:durableId="68577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257B"/>
    <w:rsid w:val="0004602D"/>
    <w:rsid w:val="00050A94"/>
    <w:rsid w:val="0005536C"/>
    <w:rsid w:val="00067AA6"/>
    <w:rsid w:val="00071A71"/>
    <w:rsid w:val="0007481C"/>
    <w:rsid w:val="000748A2"/>
    <w:rsid w:val="0008100C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25DD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5998"/>
    <w:rsid w:val="001678D8"/>
    <w:rsid w:val="00174FC4"/>
    <w:rsid w:val="00176569"/>
    <w:rsid w:val="00176B8B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35DD"/>
    <w:rsid w:val="002B6C60"/>
    <w:rsid w:val="002D1F65"/>
    <w:rsid w:val="002D3604"/>
    <w:rsid w:val="002E7525"/>
    <w:rsid w:val="002E7537"/>
    <w:rsid w:val="002E79F1"/>
    <w:rsid w:val="002F2D5C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93F2E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E7859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B6418"/>
    <w:rsid w:val="004B6863"/>
    <w:rsid w:val="004D1774"/>
    <w:rsid w:val="004D38EE"/>
    <w:rsid w:val="004E28EF"/>
    <w:rsid w:val="004E36E3"/>
    <w:rsid w:val="004F1EC2"/>
    <w:rsid w:val="004F2FC3"/>
    <w:rsid w:val="004F3E67"/>
    <w:rsid w:val="005022EF"/>
    <w:rsid w:val="00506FA4"/>
    <w:rsid w:val="005127F7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67E80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16E4C"/>
    <w:rsid w:val="0072465D"/>
    <w:rsid w:val="00724CA4"/>
    <w:rsid w:val="00733E2F"/>
    <w:rsid w:val="00742BF0"/>
    <w:rsid w:val="00747729"/>
    <w:rsid w:val="007501C3"/>
    <w:rsid w:val="00752865"/>
    <w:rsid w:val="0075482B"/>
    <w:rsid w:val="007635D9"/>
    <w:rsid w:val="00774FEB"/>
    <w:rsid w:val="0078154E"/>
    <w:rsid w:val="00783892"/>
    <w:rsid w:val="00785DDD"/>
    <w:rsid w:val="0079031E"/>
    <w:rsid w:val="007915C4"/>
    <w:rsid w:val="00791D49"/>
    <w:rsid w:val="00792E87"/>
    <w:rsid w:val="00797376"/>
    <w:rsid w:val="007A7B2C"/>
    <w:rsid w:val="007A7F9A"/>
    <w:rsid w:val="007B54AA"/>
    <w:rsid w:val="007B5DF9"/>
    <w:rsid w:val="007B7E5D"/>
    <w:rsid w:val="007C153D"/>
    <w:rsid w:val="007C768F"/>
    <w:rsid w:val="007D6BFE"/>
    <w:rsid w:val="007E1EE3"/>
    <w:rsid w:val="007F2573"/>
    <w:rsid w:val="007F37B9"/>
    <w:rsid w:val="007F6C69"/>
    <w:rsid w:val="00812BE0"/>
    <w:rsid w:val="00815AEA"/>
    <w:rsid w:val="008176BE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1BB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04063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04"/>
    <w:rsid w:val="00A3609A"/>
    <w:rsid w:val="00A40422"/>
    <w:rsid w:val="00A40A0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C24E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A597F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A747A"/>
    <w:rsid w:val="00CB20CC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66C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4127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0DA7"/>
    <w:rsid w:val="00DB140C"/>
    <w:rsid w:val="00DB3DBD"/>
    <w:rsid w:val="00DC1AA0"/>
    <w:rsid w:val="00DC4FA6"/>
    <w:rsid w:val="00DD4303"/>
    <w:rsid w:val="00DE0248"/>
    <w:rsid w:val="00DE5025"/>
    <w:rsid w:val="00DF0C2F"/>
    <w:rsid w:val="00DF1CAF"/>
    <w:rsid w:val="00DF50DF"/>
    <w:rsid w:val="00E018DC"/>
    <w:rsid w:val="00E02A4F"/>
    <w:rsid w:val="00E03D83"/>
    <w:rsid w:val="00E11709"/>
    <w:rsid w:val="00E11BF3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561C5"/>
    <w:rsid w:val="00E6331F"/>
    <w:rsid w:val="00E63D6D"/>
    <w:rsid w:val="00E70651"/>
    <w:rsid w:val="00E713A8"/>
    <w:rsid w:val="00E72FB0"/>
    <w:rsid w:val="00E748F7"/>
    <w:rsid w:val="00E83939"/>
    <w:rsid w:val="00E845D3"/>
    <w:rsid w:val="00E9134C"/>
    <w:rsid w:val="00E91809"/>
    <w:rsid w:val="00E94D1E"/>
    <w:rsid w:val="00E94F99"/>
    <w:rsid w:val="00EA0564"/>
    <w:rsid w:val="00EA5191"/>
    <w:rsid w:val="00EA56FB"/>
    <w:rsid w:val="00EA7A70"/>
    <w:rsid w:val="00EB13AD"/>
    <w:rsid w:val="00EC1D75"/>
    <w:rsid w:val="00EC4886"/>
    <w:rsid w:val="00ED2A09"/>
    <w:rsid w:val="00ED378B"/>
    <w:rsid w:val="00EE26E8"/>
    <w:rsid w:val="00EE7AFC"/>
    <w:rsid w:val="00EF484D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0370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4</cp:revision>
  <cp:lastPrinted>2018-02-06T20:37:00Z</cp:lastPrinted>
  <dcterms:created xsi:type="dcterms:W3CDTF">2023-05-10T14:40:00Z</dcterms:created>
  <dcterms:modified xsi:type="dcterms:W3CDTF">2023-05-10T14:45:00Z</dcterms:modified>
</cp:coreProperties>
</file>